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2644"/>
        <w:gridCol w:w="1543"/>
        <w:gridCol w:w="1496"/>
        <w:gridCol w:w="2842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4D2363A7">
                      <wp:simplePos x="0" y="0"/>
                      <wp:positionH relativeFrom="margin">
                        <wp:posOffset>2426386</wp:posOffset>
                      </wp:positionH>
                      <wp:positionV relativeFrom="paragraph">
                        <wp:posOffset>-537159</wp:posOffset>
                      </wp:positionV>
                      <wp:extent cx="2304288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288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6E9E86A0" w:rsidR="00BC3CBE" w:rsidRPr="00521289" w:rsidRDefault="007B489D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Reclast</w:t>
                                  </w:r>
                                  <w:r w:rsidRPr="007B489D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(zoledronic acid)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05pt;margin-top:-42.3pt;width:181.4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" filled="f" stroked="f">
                      <v:textbox>
                        <w:txbxContent>
                          <w:p w14:paraId="74949D4E" w14:textId="6E9E86A0" w:rsidR="00BC3CBE" w:rsidRPr="00521289" w:rsidRDefault="007B489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Reclast</w:t>
                            </w:r>
                            <w:r w:rsidRPr="007B489D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(zoledronic acid)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6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6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7062741D" w:rsidR="0069782B" w:rsidRPr="00A4447C" w:rsidRDefault="00E20C30" w:rsidP="0074119A">
            <w:pPr>
              <w:jc w:val="center"/>
            </w:pPr>
            <w:r>
              <w:rPr>
                <w:sz w:val="20"/>
                <w:szCs w:val="20"/>
              </w:rPr>
              <w:t>Comprehensive Metabolic Panel</w:t>
            </w:r>
          </w:p>
        </w:tc>
      </w:tr>
      <w:tr w:rsidR="00E20C30" w14:paraId="6FF372CE" w14:textId="542455E1" w:rsidTr="00E20C30">
        <w:trPr>
          <w:trHeight w:val="425"/>
        </w:trPr>
        <w:tc>
          <w:tcPr>
            <w:tcW w:w="5485" w:type="dxa"/>
            <w:gridSpan w:val="3"/>
            <w:shd w:val="clear" w:color="auto" w:fill="FFFFFF" w:themeFill="background1"/>
          </w:tcPr>
          <w:p w14:paraId="4852390D" w14:textId="77777777" w:rsidR="00E20C30" w:rsidRPr="00D16C04" w:rsidRDefault="00E20C30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401672B3" w14:textId="77777777" w:rsidR="00E20C30" w:rsidRPr="00D16C04" w:rsidRDefault="00E20C30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  <w:p w14:paraId="10FF835D" w14:textId="4289EB58" w:rsidR="00E20C30" w:rsidRPr="00D16C04" w:rsidRDefault="00E20C30" w:rsidP="009D4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2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E20C30" w14:paraId="438915A0" w14:textId="7EC1D936" w:rsidTr="00756F36">
        <w:trPr>
          <w:trHeight w:val="334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6DB6DA89" w14:textId="43F61341" w:rsidR="00E20C30" w:rsidRPr="001451E3" w:rsidRDefault="00E20C30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</w:tr>
      <w:tr w:rsidR="00E20C30" w14:paraId="248889E2" w14:textId="5F128B59" w:rsidTr="007B489D">
        <w:trPr>
          <w:trHeight w:val="621"/>
        </w:trPr>
        <w:tc>
          <w:tcPr>
            <w:tcW w:w="11366" w:type="dxa"/>
            <w:gridSpan w:val="6"/>
            <w:tcBorders>
              <w:bottom w:val="dotted" w:sz="4" w:space="0" w:color="auto"/>
            </w:tcBorders>
            <w:vAlign w:val="center"/>
          </w:tcPr>
          <w:p w14:paraId="6578BADC" w14:textId="5F1B2E6F" w:rsidR="00E20C30" w:rsidRPr="00357CF6" w:rsidRDefault="005C1D99" w:rsidP="00357CF6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7B489D" w:rsidRPr="001451E3">
              <w:rPr>
                <w:rFonts w:cstheme="minorHAnsi"/>
              </w:rPr>
              <w:t xml:space="preserve"> </w:t>
            </w:r>
            <w:r w:rsidR="007B489D" w:rsidRPr="005C1D99">
              <w:rPr>
                <w:rFonts w:cstheme="minorHAnsi"/>
                <w:b/>
                <w:bCs/>
                <w:sz w:val="24"/>
                <w:szCs w:val="24"/>
              </w:rPr>
              <w:t>Reclast (zoledronic acid)</w:t>
            </w:r>
            <w:r w:rsidR="007B489D" w:rsidRPr="005C1D99">
              <w:rPr>
                <w:rFonts w:cstheme="minorHAnsi"/>
                <w:sz w:val="24"/>
                <w:szCs w:val="24"/>
              </w:rPr>
              <w:t xml:space="preserve"> 5mg/100 mL IV x one infusion.</w:t>
            </w:r>
          </w:p>
        </w:tc>
      </w:tr>
      <w:tr w:rsidR="007B489D" w14:paraId="6EC7BE6A" w14:textId="77777777" w:rsidTr="007B489D">
        <w:trPr>
          <w:trHeight w:val="621"/>
        </w:trPr>
        <w:tc>
          <w:tcPr>
            <w:tcW w:w="1136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5F039" w14:textId="77777777" w:rsidR="007B489D" w:rsidRPr="001451E3" w:rsidRDefault="005C1D99" w:rsidP="007B489D">
            <w:pPr>
              <w:tabs>
                <w:tab w:val="left" w:pos="1008"/>
              </w:tabs>
            </w:pPr>
            <w:sdt>
              <w:sdtPr>
                <w:id w:val="17813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D" w:rsidRPr="0014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D" w:rsidRPr="001451E3">
              <w:t xml:space="preserve"> </w:t>
            </w:r>
            <w:r w:rsidR="007B489D" w:rsidRPr="00E91F83">
              <w:rPr>
                <w:b/>
                <w:bCs/>
              </w:rPr>
              <w:t>NO premedication</w:t>
            </w:r>
          </w:p>
          <w:p w14:paraId="06D68562" w14:textId="207D8749" w:rsidR="007B489D" w:rsidRDefault="005C1D99" w:rsidP="007B489D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sdt>
              <w:sdtPr>
                <w:id w:val="5880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9D" w:rsidRPr="0014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89D" w:rsidRPr="001451E3">
              <w:t xml:space="preserve"> </w:t>
            </w:r>
            <w:r w:rsidR="007B489D">
              <w:t>Tylenol (acetaminophen) 650 mg PO</w:t>
            </w:r>
          </w:p>
        </w:tc>
      </w:tr>
      <w:tr w:rsidR="00E20C30" w:rsidRPr="00357CF6" w14:paraId="6F443D02" w14:textId="2CD8ECEE" w:rsidTr="00F8212C">
        <w:trPr>
          <w:trHeight w:val="891"/>
        </w:trPr>
        <w:tc>
          <w:tcPr>
            <w:tcW w:w="1136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2B2BEE0" w14:textId="77777777" w:rsidR="00E20C30" w:rsidRPr="00357CF6" w:rsidRDefault="00E20C30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E20C30" w:rsidRPr="00357CF6" w:rsidRDefault="005C1D99" w:rsidP="0074119A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20C30" w:rsidRPr="00357CF6">
              <w:rPr>
                <w:sz w:val="20"/>
                <w:szCs w:val="20"/>
              </w:rPr>
              <w:t xml:space="preserve"> Per Facility protocol</w:t>
            </w:r>
          </w:p>
          <w:p w14:paraId="19063CDB" w14:textId="75FC9BA6" w:rsidR="00E20C30" w:rsidRPr="00357CF6" w:rsidRDefault="005C1D99" w:rsidP="00E20C3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30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0C30" w:rsidRPr="00357CF6">
              <w:rPr>
                <w:sz w:val="20"/>
                <w:szCs w:val="20"/>
              </w:rPr>
              <w:t xml:space="preserve"> Provider requested Emergency Medication</w:t>
            </w:r>
            <w:r w:rsidR="00F8212C">
              <w:rPr>
                <w:sz w:val="20"/>
                <w:szCs w:val="20"/>
              </w:rPr>
              <w:t>: _________________________________________________________________________</w:t>
            </w:r>
          </w:p>
        </w:tc>
      </w:tr>
      <w:tr w:rsidR="00163568" w:rsidRPr="00357CF6" w14:paraId="1CB2783C" w14:textId="77777777" w:rsidTr="0074119A">
        <w:trPr>
          <w:trHeight w:val="264"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36780D4F" w:rsidR="00146D56" w:rsidRPr="00357CF6" w:rsidRDefault="0074119A" w:rsidP="0074119A">
            <w:pPr>
              <w:rPr>
                <w:b/>
                <w:bCs/>
                <w:sz w:val="20"/>
                <w:szCs w:val="20"/>
              </w:rPr>
            </w:pPr>
            <w:r w:rsidRPr="00E20C30">
              <w:rPr>
                <w:b/>
                <w:bCs/>
                <w:sz w:val="24"/>
                <w:szCs w:val="24"/>
              </w:rPr>
              <w:t>Labs</w:t>
            </w:r>
            <w:r w:rsidR="00E20C30">
              <w:rPr>
                <w:b/>
                <w:bCs/>
                <w:sz w:val="24"/>
                <w:szCs w:val="24"/>
              </w:rPr>
              <w:t>/Imaging</w:t>
            </w:r>
          </w:p>
        </w:tc>
      </w:tr>
      <w:tr w:rsidR="0074119A" w14:paraId="0533BEDF" w14:textId="77777777" w:rsidTr="00E20C30">
        <w:trPr>
          <w:trHeight w:val="692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A13AE" w14:textId="317617D7" w:rsidR="00E20C30" w:rsidRPr="00E20C30" w:rsidRDefault="005C1D99" w:rsidP="00E20C30">
            <w:pPr>
              <w:tabs>
                <w:tab w:val="left" w:pos="720"/>
              </w:tabs>
              <w:rPr>
                <w:rFonts w:eastAsia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322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0C30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20C30">
              <w:rPr>
                <w:rFonts w:eastAsia="MS Gothic" w:cstheme="minorHAnsi"/>
                <w:b/>
                <w:bCs/>
                <w:sz w:val="20"/>
                <w:szCs w:val="20"/>
              </w:rPr>
              <w:t>Last DEXA Scan: _____________________ (results provided)</w:t>
            </w:r>
          </w:p>
          <w:p w14:paraId="53C77EC6" w14:textId="68EFB0CB" w:rsidR="00357CF6" w:rsidRPr="00E20C30" w:rsidRDefault="005C1D99" w:rsidP="00E20C3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30" w:rsidRPr="00E20C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119A" w:rsidRPr="00E20C30">
              <w:rPr>
                <w:sz w:val="20"/>
                <w:szCs w:val="20"/>
              </w:rPr>
              <w:t xml:space="preserve"> </w:t>
            </w:r>
            <w:r w:rsidR="00E20C30">
              <w:rPr>
                <w:sz w:val="20"/>
                <w:szCs w:val="20"/>
              </w:rPr>
              <w:t xml:space="preserve"> </w:t>
            </w:r>
            <w:r w:rsidR="0074119A" w:rsidRPr="00E20C30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74119A" w:rsidRPr="00E20C30">
              <w:rPr>
                <w:b/>
                <w:bCs/>
              </w:rPr>
              <w:t xml:space="preserve">- </w:t>
            </w:r>
            <w:r w:rsidR="00357CF6" w:rsidRPr="00E20C30">
              <w:rPr>
                <w:sz w:val="20"/>
                <w:szCs w:val="20"/>
              </w:rPr>
              <w:t xml:space="preserve"> </w:t>
            </w:r>
            <w:r w:rsidR="00E20C30">
              <w:t xml:space="preserve"> </w:t>
            </w:r>
            <w:r w:rsidR="00E20C30" w:rsidRPr="00E20C30">
              <w:rPr>
                <w:sz w:val="16"/>
                <w:szCs w:val="16"/>
              </w:rPr>
              <w:t>Comprehensive Metabolic Panel</w:t>
            </w:r>
          </w:p>
          <w:p w14:paraId="43509367" w14:textId="3B178645" w:rsidR="0074119A" w:rsidRPr="0074119A" w:rsidRDefault="0074119A" w:rsidP="00E20C3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4119A">
              <w:rPr>
                <w:b/>
                <w:bCs/>
                <w:sz w:val="20"/>
                <w:szCs w:val="20"/>
                <w:u w:val="single"/>
              </w:rPr>
              <w:t xml:space="preserve">Labs to be drawn </w:t>
            </w:r>
            <w:r w:rsidR="00151F4A">
              <w:rPr>
                <w:b/>
                <w:bCs/>
                <w:sz w:val="20"/>
                <w:szCs w:val="20"/>
                <w:u w:val="single"/>
              </w:rPr>
              <w:t>by facility</w:t>
            </w:r>
            <w:r w:rsidR="00151F4A">
              <w:rPr>
                <w:b/>
                <w:bCs/>
                <w:sz w:val="20"/>
                <w:szCs w:val="20"/>
              </w:rPr>
              <w:t xml:space="preserve">:                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19A">
              <w:rPr>
                <w:b/>
                <w:bCs/>
              </w:rPr>
              <w:t xml:space="preserve"> NO LABS REQUIRED</w:t>
            </w:r>
          </w:p>
        </w:tc>
      </w:tr>
      <w:tr w:rsidR="0074119A" w14:paraId="49827B74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74119A" w14:paraId="1169917D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74119A" w:rsidRPr="0074119A" w:rsidRDefault="0074119A" w:rsidP="0074119A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E4026" w14:paraId="0230AB97" w14:textId="77777777" w:rsidTr="0049088F">
        <w:trPr>
          <w:trHeight w:val="327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36432AB1" w:rsidR="009E4026" w:rsidRPr="00C301A7" w:rsidRDefault="00E20C30" w:rsidP="0074119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Provider Communication</w:t>
            </w:r>
          </w:p>
        </w:tc>
      </w:tr>
      <w:tr w:rsidR="00163568" w14:paraId="6FB0EE9C" w14:textId="77777777" w:rsidTr="00F8212C">
        <w:trPr>
          <w:trHeight w:val="2664"/>
        </w:trPr>
        <w:tc>
          <w:tcPr>
            <w:tcW w:w="11366" w:type="dxa"/>
            <w:gridSpan w:val="6"/>
          </w:tcPr>
          <w:p w14:paraId="1882FB63" w14:textId="77777777" w:rsidR="007B489D" w:rsidRPr="007B489D" w:rsidRDefault="007B489D" w:rsidP="00F8212C">
            <w:pPr>
              <w:rPr>
                <w:b/>
                <w:bCs/>
                <w:sz w:val="20"/>
                <w:szCs w:val="20"/>
              </w:rPr>
            </w:pPr>
            <w:r w:rsidRPr="007B489D">
              <w:rPr>
                <w:b/>
                <w:bCs/>
                <w:sz w:val="20"/>
                <w:szCs w:val="20"/>
              </w:rPr>
              <w:t xml:space="preserve">Reclast Dosing and Intervals: </w:t>
            </w:r>
          </w:p>
          <w:p w14:paraId="73F2BAC3" w14:textId="77777777" w:rsidR="007B489D" w:rsidRPr="00595F24" w:rsidRDefault="007B489D" w:rsidP="007B489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95F24">
              <w:rPr>
                <w:sz w:val="20"/>
                <w:szCs w:val="20"/>
              </w:rPr>
              <w:t>Osteoporosis Treatment: 5 mg single infusion, once a year</w:t>
            </w:r>
          </w:p>
          <w:p w14:paraId="41F3B4B7" w14:textId="77777777" w:rsidR="007B489D" w:rsidRPr="00595F24" w:rsidRDefault="007B489D" w:rsidP="007B489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95F24">
              <w:rPr>
                <w:sz w:val="20"/>
                <w:szCs w:val="20"/>
              </w:rPr>
              <w:t xml:space="preserve">Osteoporosis Prevention-Post Menopausal women: 5 mg single infusion every 2 years </w:t>
            </w:r>
          </w:p>
          <w:p w14:paraId="3D689D48" w14:textId="48AF77C8" w:rsidR="007B489D" w:rsidRDefault="007B489D" w:rsidP="007B489D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595F24">
              <w:rPr>
                <w:sz w:val="20"/>
                <w:szCs w:val="20"/>
              </w:rPr>
              <w:t>Pagets Disease of bone: 5 mg single infusion (change interval to ONCE) Use Change Interval button to change the interval.</w:t>
            </w:r>
          </w:p>
          <w:p w14:paraId="78CBF95A" w14:textId="77777777" w:rsidR="007B489D" w:rsidRPr="007B489D" w:rsidRDefault="007B489D" w:rsidP="007B489D">
            <w:pPr>
              <w:rPr>
                <w:b/>
                <w:bCs/>
                <w:sz w:val="20"/>
                <w:szCs w:val="20"/>
              </w:rPr>
            </w:pPr>
            <w:r w:rsidRPr="007B489D">
              <w:rPr>
                <w:b/>
                <w:bCs/>
                <w:sz w:val="20"/>
                <w:szCs w:val="20"/>
              </w:rPr>
              <w:t>Considerations</w:t>
            </w:r>
          </w:p>
          <w:p w14:paraId="4429E370" w14:textId="4B3BDB36" w:rsidR="007B489D" w:rsidRPr="007B489D" w:rsidRDefault="007B489D" w:rsidP="007B489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B489D">
              <w:rPr>
                <w:sz w:val="20"/>
                <w:szCs w:val="20"/>
              </w:rPr>
              <w:t>Concurrent administration of aminoglycosides or loop diuretics may cause hypoglycemia</w:t>
            </w:r>
          </w:p>
          <w:p w14:paraId="16070F57" w14:textId="30DA8C0F" w:rsidR="007B489D" w:rsidRPr="007B489D" w:rsidRDefault="007B489D" w:rsidP="007B489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B489D">
              <w:rPr>
                <w:sz w:val="20"/>
                <w:szCs w:val="20"/>
              </w:rPr>
              <w:t xml:space="preserve">Patients being treated with Zometa should NOT receive Reclast </w:t>
            </w:r>
          </w:p>
          <w:p w14:paraId="1DCD4B14" w14:textId="67C5F87C" w:rsidR="007B489D" w:rsidRPr="007B489D" w:rsidRDefault="007B489D" w:rsidP="007B489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B489D">
              <w:rPr>
                <w:sz w:val="20"/>
                <w:szCs w:val="20"/>
              </w:rPr>
              <w:t xml:space="preserve">Use Reclast with caution in ASA-sensitive asthma </w:t>
            </w:r>
          </w:p>
          <w:p w14:paraId="3A15C199" w14:textId="1A1004CC" w:rsidR="0074119A" w:rsidRPr="00F8212C" w:rsidRDefault="007B489D" w:rsidP="00F8212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B489D">
              <w:rPr>
                <w:sz w:val="20"/>
                <w:szCs w:val="20"/>
              </w:rPr>
              <w:t>Consider supplement for at least 2 weeks: Oral Calcium with Vitamin D or Oral Calcium supplement 1200 mg daily or multi-vitamin containing 800-1000 IU Vitamin D daily.</w:t>
            </w:r>
          </w:p>
        </w:tc>
      </w:tr>
      <w:tr w:rsidR="00E20C30" w14:paraId="10C4920C" w14:textId="77777777" w:rsidTr="00E20C30">
        <w:trPr>
          <w:trHeight w:val="369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4688FFA7" w14:textId="4D96A201" w:rsidR="00E20C30" w:rsidRPr="00E20C30" w:rsidRDefault="00E20C30" w:rsidP="00E20C30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b/>
                <w:bCs/>
                <w:color w:val="FF0000"/>
                <w:sz w:val="20"/>
                <w:szCs w:val="24"/>
              </w:rPr>
            </w:pPr>
            <w:r w:rsidRPr="00E20C30">
              <w:rPr>
                <w:rFonts w:cstheme="minorHAnsi"/>
                <w:b/>
                <w:bCs/>
                <w:sz w:val="24"/>
                <w:szCs w:val="32"/>
              </w:rPr>
              <w:t>Nursing Communication/Orders</w:t>
            </w:r>
          </w:p>
        </w:tc>
      </w:tr>
      <w:tr w:rsidR="00E20C30" w14:paraId="469FA502" w14:textId="77777777" w:rsidTr="00E20C30">
        <w:trPr>
          <w:trHeight w:val="369"/>
        </w:trPr>
        <w:tc>
          <w:tcPr>
            <w:tcW w:w="11366" w:type="dxa"/>
            <w:gridSpan w:val="6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08730C" w14:textId="77777777" w:rsidR="007B489D" w:rsidRPr="00F8212C" w:rsidRDefault="007B489D" w:rsidP="007B489D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Notify</w:t>
            </w:r>
            <w:r w:rsidRPr="00F821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212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Provider if</w:t>
            </w:r>
            <w:r w:rsidRPr="00F8212C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14:paraId="11328B2C" w14:textId="77777777" w:rsidR="007B489D" w:rsidRPr="00F8212C" w:rsidRDefault="007B489D" w:rsidP="007B489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color w:val="000000"/>
                <w:sz w:val="20"/>
                <w:szCs w:val="20"/>
              </w:rPr>
              <w:t>Patient experiences hypersensitivity reaction</w:t>
            </w:r>
          </w:p>
          <w:p w14:paraId="5B11DB78" w14:textId="77777777" w:rsidR="007B489D" w:rsidRPr="00F8212C" w:rsidRDefault="007B489D" w:rsidP="007B489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color w:val="000000"/>
                <w:sz w:val="20"/>
                <w:szCs w:val="20"/>
              </w:rPr>
              <w:t xml:space="preserve">Nursing or pregnancy risk </w:t>
            </w:r>
          </w:p>
          <w:p w14:paraId="571D652E" w14:textId="77777777" w:rsidR="007B489D" w:rsidRPr="00F8212C" w:rsidRDefault="007B489D" w:rsidP="007B489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color w:val="000000"/>
                <w:sz w:val="20"/>
                <w:szCs w:val="20"/>
              </w:rPr>
              <w:t>Current treatment with any other bisphosphonate</w:t>
            </w:r>
          </w:p>
          <w:p w14:paraId="1DBF86B5" w14:textId="77777777" w:rsidR="007B489D" w:rsidRPr="00F8212C" w:rsidRDefault="007B489D" w:rsidP="007B489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color w:val="000000"/>
                <w:sz w:val="20"/>
                <w:szCs w:val="20"/>
              </w:rPr>
              <w:t xml:space="preserve">Correct Calcium LESS than LLN </w:t>
            </w:r>
          </w:p>
          <w:p w14:paraId="579F7DEF" w14:textId="77777777" w:rsidR="007B489D" w:rsidRPr="00F8212C" w:rsidRDefault="007B489D" w:rsidP="007B489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color w:val="000000"/>
                <w:sz w:val="20"/>
                <w:szCs w:val="20"/>
              </w:rPr>
              <w:t xml:space="preserve">CrCl LESS than 35 mL/min </w:t>
            </w:r>
          </w:p>
          <w:p w14:paraId="1CAF0BCC" w14:textId="77777777" w:rsidR="007B489D" w:rsidRPr="00F8212C" w:rsidRDefault="007B489D" w:rsidP="007B489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color w:val="000000"/>
                <w:sz w:val="20"/>
                <w:szCs w:val="20"/>
              </w:rPr>
              <w:t>Creatinine: If baseline creatinine was NORMAL and has increased by GREATER than or EQUAL to 0.5 mg/dL prior to this treatment OR If baseline creatinine was ABNORMAL and has increased by GREATER THAN or EQUAL to 1.0 mg/dL prior to this treatment.</w:t>
            </w:r>
          </w:p>
          <w:p w14:paraId="02646003" w14:textId="77777777" w:rsidR="007B489D" w:rsidRPr="00F8212C" w:rsidRDefault="007B489D" w:rsidP="007B489D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F8212C">
              <w:rPr>
                <w:rFonts w:cstheme="minorHAnsi"/>
                <w:color w:val="000000"/>
                <w:sz w:val="20"/>
                <w:szCs w:val="20"/>
              </w:rPr>
              <w:t>Concurrent administration of aminoglycosides or loop diuretics may cause hypocalcemia</w:t>
            </w:r>
          </w:p>
          <w:p w14:paraId="53E9AD06" w14:textId="3D08CFE6" w:rsidR="00E20C30" w:rsidRPr="007B489D" w:rsidRDefault="007B489D" w:rsidP="007B489D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sz w:val="18"/>
              </w:rPr>
            </w:pPr>
            <w:r w:rsidRPr="00F8212C">
              <w:rPr>
                <w:rFonts w:cstheme="minorHAnsi"/>
                <w:b/>
                <w:bCs/>
                <w:sz w:val="20"/>
                <w:szCs w:val="24"/>
              </w:rPr>
              <w:t xml:space="preserve">Orders: </w:t>
            </w:r>
            <w:r w:rsidRPr="00F8212C">
              <w:rPr>
                <w:rFonts w:cstheme="minorHAnsi"/>
                <w:sz w:val="20"/>
                <w:szCs w:val="24"/>
              </w:rPr>
              <w:t xml:space="preserve">Flush IV line with 10 mL NS flush following infusion, must be hydrated before treatment, </w:t>
            </w:r>
            <w:r w:rsidR="00F8212C" w:rsidRPr="00F8212C">
              <w:rPr>
                <w:rFonts w:cstheme="minorHAnsi"/>
                <w:sz w:val="20"/>
                <w:szCs w:val="24"/>
              </w:rPr>
              <w:t xml:space="preserve">do </w:t>
            </w:r>
            <w:r w:rsidRPr="00F8212C">
              <w:rPr>
                <w:rFonts w:cstheme="minorHAnsi"/>
                <w:sz w:val="20"/>
                <w:szCs w:val="24"/>
              </w:rPr>
              <w:t>not mix with any calcium containing solution</w:t>
            </w:r>
            <w:r w:rsidR="00F8212C">
              <w:rPr>
                <w:rFonts w:cstheme="minorHAnsi"/>
                <w:sz w:val="20"/>
                <w:szCs w:val="24"/>
              </w:rPr>
              <w:t>, s</w:t>
            </w:r>
            <w:r w:rsidR="00F8212C" w:rsidRPr="00F8212C">
              <w:rPr>
                <w:rFonts w:cstheme="minorHAnsi"/>
                <w:sz w:val="20"/>
                <w:szCs w:val="24"/>
              </w:rPr>
              <w:t xml:space="preserve">top if hypersensitivity occurs and notify ordering provider.  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5A16664C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80B"/>
    <w:multiLevelType w:val="hybridMultilevel"/>
    <w:tmpl w:val="4CC45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50A54"/>
    <w:multiLevelType w:val="hybridMultilevel"/>
    <w:tmpl w:val="CC127634"/>
    <w:lvl w:ilvl="0" w:tplc="2C620F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BFEC608">
      <w:start w:val="1"/>
      <w:numFmt w:val="lowerLetter"/>
      <w:lvlText w:val="%2."/>
      <w:lvlJc w:val="left"/>
      <w:pPr>
        <w:ind w:left="1440" w:hanging="360"/>
      </w:pPr>
      <w:rPr>
        <w:b/>
        <w:bCs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4B221A27"/>
    <w:multiLevelType w:val="hybridMultilevel"/>
    <w:tmpl w:val="FD4E2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3006C"/>
    <w:multiLevelType w:val="hybridMultilevel"/>
    <w:tmpl w:val="0C72E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2111"/>
    <w:multiLevelType w:val="hybridMultilevel"/>
    <w:tmpl w:val="F4B42A90"/>
    <w:lvl w:ilvl="0" w:tplc="46D01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D53B3"/>
    <w:multiLevelType w:val="hybridMultilevel"/>
    <w:tmpl w:val="A85431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7"/>
  </w:num>
  <w:num w:numId="3" w16cid:durableId="1710762718">
    <w:abstractNumId w:val="16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5"/>
  </w:num>
  <w:num w:numId="7" w16cid:durableId="753167693">
    <w:abstractNumId w:val="17"/>
  </w:num>
  <w:num w:numId="8" w16cid:durableId="2071077735">
    <w:abstractNumId w:val="12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61360273">
    <w:abstractNumId w:val="13"/>
  </w:num>
  <w:num w:numId="14" w16cid:durableId="2124761364">
    <w:abstractNumId w:val="9"/>
  </w:num>
  <w:num w:numId="15" w16cid:durableId="813762243">
    <w:abstractNumId w:val="18"/>
  </w:num>
  <w:num w:numId="16" w16cid:durableId="110512245">
    <w:abstractNumId w:val="14"/>
  </w:num>
  <w:num w:numId="17" w16cid:durableId="1220048242">
    <w:abstractNumId w:val="10"/>
  </w:num>
  <w:num w:numId="18" w16cid:durableId="1954441471">
    <w:abstractNumId w:val="11"/>
  </w:num>
  <w:num w:numId="19" w16cid:durableId="593369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1F4A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5C1D99"/>
    <w:rsid w:val="006100DC"/>
    <w:rsid w:val="006127AD"/>
    <w:rsid w:val="00613909"/>
    <w:rsid w:val="006370E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B489D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AD53A3"/>
    <w:rsid w:val="00B11D0A"/>
    <w:rsid w:val="00B15105"/>
    <w:rsid w:val="00B4336E"/>
    <w:rsid w:val="00B44A1E"/>
    <w:rsid w:val="00B54850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F594F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0C30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212C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6</cp:revision>
  <cp:lastPrinted>2022-12-09T21:41:00Z</cp:lastPrinted>
  <dcterms:created xsi:type="dcterms:W3CDTF">2022-12-15T20:56:00Z</dcterms:created>
  <dcterms:modified xsi:type="dcterms:W3CDTF">2023-01-10T22:43:00Z</dcterms:modified>
</cp:coreProperties>
</file>