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BDA18" w14:textId="4C830F7A" w:rsidR="005D0FDB" w:rsidRPr="005D0FDB" w:rsidRDefault="005D0FDB" w:rsidP="005D0FDB">
      <w:pPr>
        <w:pStyle w:val="NoSpacing"/>
        <w:jc w:val="center"/>
        <w:rPr>
          <w:rFonts w:ascii="Times New Roman" w:hAnsi="Times New Roman"/>
          <w:b/>
          <w:sz w:val="24"/>
          <w:szCs w:val="24"/>
          <w:lang w:val="en"/>
        </w:rPr>
      </w:pPr>
      <w:bookmarkStart w:id="0" w:name="_GoBack"/>
      <w:bookmarkEnd w:id="0"/>
      <w:r w:rsidRPr="005D0FDB">
        <w:rPr>
          <w:rFonts w:ascii="Times New Roman" w:hAnsi="Times New Roman"/>
          <w:b/>
          <w:sz w:val="24"/>
          <w:szCs w:val="24"/>
          <w:lang w:val="en"/>
        </w:rPr>
        <w:t>Financial Policy</w:t>
      </w:r>
    </w:p>
    <w:p w14:paraId="01FA8431" w14:textId="77777777" w:rsidR="005D0FDB" w:rsidRDefault="005D0FDB" w:rsidP="005D0FDB">
      <w:pPr>
        <w:pStyle w:val="NoSpacing"/>
        <w:jc w:val="center"/>
        <w:rPr>
          <w:rFonts w:ascii="Times New Roman" w:hAnsi="Times New Roman"/>
          <w:lang w:val="en"/>
        </w:rPr>
      </w:pPr>
    </w:p>
    <w:p w14:paraId="02AE0B7E" w14:textId="77777777" w:rsidR="005D0FDB" w:rsidRPr="00CB6759" w:rsidRDefault="005D0FDB" w:rsidP="002348DC">
      <w:pPr>
        <w:pStyle w:val="PPHeading1"/>
        <w:numPr>
          <w:ilvl w:val="0"/>
          <w:numId w:val="0"/>
        </w:numPr>
      </w:pPr>
      <w:r w:rsidRPr="00CB6759">
        <w:t>General Policy Statement (Entities Affected / Responsible Party for Implementation)</w:t>
      </w:r>
    </w:p>
    <w:p w14:paraId="7399D5F3" w14:textId="77777777" w:rsidR="002348DC" w:rsidRDefault="002348DC" w:rsidP="002348DC">
      <w:pPr>
        <w:pStyle w:val="TxBrc4"/>
        <w:tabs>
          <w:tab w:val="left" w:pos="844"/>
        </w:tabs>
        <w:spacing w:line="240" w:lineRule="auto"/>
        <w:ind w:right="864"/>
        <w:jc w:val="left"/>
        <w:rPr>
          <w:sz w:val="22"/>
          <w:szCs w:val="22"/>
        </w:rPr>
      </w:pPr>
    </w:p>
    <w:p w14:paraId="69FBA363" w14:textId="2DB77F42" w:rsidR="005D0FDB" w:rsidRDefault="005D0FDB" w:rsidP="002348DC">
      <w:pPr>
        <w:pStyle w:val="TxBrc4"/>
        <w:tabs>
          <w:tab w:val="left" w:pos="844"/>
        </w:tabs>
        <w:spacing w:line="240" w:lineRule="auto"/>
        <w:ind w:right="864"/>
        <w:jc w:val="left"/>
        <w:rPr>
          <w:sz w:val="22"/>
          <w:szCs w:val="22"/>
        </w:rPr>
      </w:pPr>
      <w:r w:rsidRPr="7C7C39BF">
        <w:rPr>
          <w:sz w:val="22"/>
          <w:szCs w:val="22"/>
        </w:rPr>
        <w:t xml:space="preserve">It is the policy of the Department of FaithHealth Chaplaincy </w:t>
      </w:r>
      <w:r w:rsidR="007555CD">
        <w:rPr>
          <w:sz w:val="22"/>
          <w:szCs w:val="22"/>
        </w:rPr>
        <w:t>and</w:t>
      </w:r>
      <w:r w:rsidRPr="7C7C39BF">
        <w:rPr>
          <w:sz w:val="22"/>
          <w:szCs w:val="22"/>
        </w:rPr>
        <w:t xml:space="preserve"> Education at WFBMC to include in its program brochures accurate information regarding fees, payment schedules, refunds, stipends and benefits for all CPE programs at Wake Forest Baptist Medical Center. The center-specific program brochure will be provided to each potential CPE student and posted on the website.  All financial information will be reviewed periodically, and may be changed annually.  Registration of credit with The Association for Clinical Pastoral Education, Inc. and/or the Certified Educator’s written evaluation may be withheld pending complete payment of all fees and tuition.</w:t>
      </w:r>
    </w:p>
    <w:p w14:paraId="65BB1375" w14:textId="77777777" w:rsidR="002348DC" w:rsidRPr="00CB6759" w:rsidRDefault="002348DC" w:rsidP="007555CD">
      <w:pPr>
        <w:pStyle w:val="TxBrc4"/>
        <w:tabs>
          <w:tab w:val="left" w:pos="844"/>
        </w:tabs>
        <w:spacing w:line="240" w:lineRule="auto"/>
        <w:ind w:left="360" w:right="864"/>
        <w:jc w:val="left"/>
        <w:rPr>
          <w:sz w:val="22"/>
          <w:szCs w:val="22"/>
        </w:rPr>
      </w:pPr>
    </w:p>
    <w:p w14:paraId="75B7E9CB" w14:textId="59401B3B" w:rsidR="005D0FDB" w:rsidRPr="00CB6759" w:rsidRDefault="002348DC" w:rsidP="002348DC">
      <w:pPr>
        <w:pStyle w:val="PPHeading2"/>
        <w:ind w:left="360"/>
      </w:pPr>
      <w:r>
        <w:t>1</w:t>
      </w:r>
      <w:r w:rsidR="005D0FDB" w:rsidRPr="00CB6759">
        <w:t>)</w:t>
      </w:r>
      <w:r w:rsidR="005D0FDB" w:rsidRPr="00CB6759">
        <w:tab/>
        <w:t>Scope:</w:t>
      </w:r>
      <w:r>
        <w:t xml:space="preserve">  </w:t>
      </w:r>
      <w:r w:rsidR="005D0FDB" w:rsidRPr="00CB6759">
        <w:t xml:space="preserve">All WFBMC </w:t>
      </w:r>
      <w:r w:rsidR="005D0FDB">
        <w:t>CPE Certified Educators</w:t>
      </w:r>
      <w:r w:rsidR="005D0FDB" w:rsidRPr="00CB6759">
        <w:t xml:space="preserve">, </w:t>
      </w:r>
      <w:r w:rsidR="005D0FDB">
        <w:t xml:space="preserve">FaithHealth Chaplaincy </w:t>
      </w:r>
      <w:r w:rsidR="00C52739">
        <w:t>and</w:t>
      </w:r>
      <w:r w:rsidR="005D0FDB">
        <w:t xml:space="preserve"> Education</w:t>
      </w:r>
      <w:r w:rsidR="005D0FDB" w:rsidRPr="00CB6759">
        <w:t xml:space="preserve"> Administrative Assistants and students enrolled in CPE programs at WFBMC are responsible for complying with this policy.</w:t>
      </w:r>
    </w:p>
    <w:p w14:paraId="2B910B55" w14:textId="5496D60C" w:rsidR="005D0FDB" w:rsidRPr="009071E2" w:rsidRDefault="002348DC" w:rsidP="002348DC">
      <w:pPr>
        <w:pStyle w:val="TxBrc4"/>
        <w:tabs>
          <w:tab w:val="left" w:pos="844"/>
        </w:tabs>
        <w:spacing w:line="240" w:lineRule="auto"/>
        <w:ind w:left="360" w:right="864" w:hanging="360"/>
        <w:jc w:val="left"/>
        <w:rPr>
          <w:bCs/>
        </w:rPr>
      </w:pPr>
      <w:r w:rsidRPr="009071E2">
        <w:rPr>
          <w:bCs/>
        </w:rPr>
        <w:t>2</w:t>
      </w:r>
      <w:r w:rsidR="005D0FDB" w:rsidRPr="009071E2">
        <w:rPr>
          <w:bCs/>
        </w:rPr>
        <w:t>)</w:t>
      </w:r>
      <w:r w:rsidR="005D0FDB" w:rsidRPr="009071E2">
        <w:rPr>
          <w:bCs/>
        </w:rPr>
        <w:tab/>
        <w:t>Responsible Department/Party/Parties:</w:t>
      </w:r>
    </w:p>
    <w:p w14:paraId="2CF4A5CF" w14:textId="77777777" w:rsidR="009071E2" w:rsidRPr="009071E2" w:rsidRDefault="009071E2" w:rsidP="009071E2">
      <w:pPr>
        <w:pStyle w:val="PPHeading3"/>
        <w:numPr>
          <w:ilvl w:val="0"/>
          <w:numId w:val="0"/>
        </w:numPr>
        <w:tabs>
          <w:tab w:val="left" w:pos="720"/>
        </w:tabs>
        <w:ind w:left="360"/>
      </w:pPr>
      <w:r w:rsidRPr="009071E2">
        <w:t>a.</w:t>
      </w:r>
      <w:r w:rsidRPr="009071E2">
        <w:tab/>
      </w:r>
      <w:r w:rsidR="005D0FDB" w:rsidRPr="009071E2">
        <w:t>Policy Owner:</w:t>
      </w:r>
      <w:r w:rsidR="005D0FDB" w:rsidRPr="009071E2">
        <w:tab/>
      </w:r>
      <w:r w:rsidR="005D0FDB" w:rsidRPr="009071E2">
        <w:tab/>
        <w:t>FaithHealth Chaplaincy &amp; Education</w:t>
      </w:r>
    </w:p>
    <w:p w14:paraId="39EA3CDE" w14:textId="57913775" w:rsidR="005D0FDB" w:rsidRPr="009071E2" w:rsidRDefault="009071E2" w:rsidP="009071E2">
      <w:pPr>
        <w:pStyle w:val="PPHeading3"/>
        <w:numPr>
          <w:ilvl w:val="0"/>
          <w:numId w:val="0"/>
        </w:numPr>
        <w:tabs>
          <w:tab w:val="clear" w:pos="844"/>
          <w:tab w:val="left" w:pos="720"/>
        </w:tabs>
        <w:ind w:left="1564" w:hanging="1204"/>
        <w:rPr>
          <w:bCs w:val="0"/>
        </w:rPr>
      </w:pPr>
      <w:r w:rsidRPr="009071E2">
        <w:t>b.</w:t>
      </w:r>
      <w:r w:rsidRPr="009071E2">
        <w:tab/>
      </w:r>
      <w:r w:rsidR="005D0FDB" w:rsidRPr="009071E2">
        <w:t>Procedure:</w:t>
      </w:r>
      <w:r w:rsidR="005D0FDB" w:rsidRPr="009071E2">
        <w:tab/>
      </w:r>
      <w:r w:rsidR="005D0FDB" w:rsidRPr="009071E2">
        <w:tab/>
        <w:t>FaithHealth Chaplaincy &amp; Education</w:t>
      </w:r>
    </w:p>
    <w:p w14:paraId="6A2DE949" w14:textId="07DB15EA" w:rsidR="005D0FDB" w:rsidRPr="009071E2" w:rsidRDefault="009071E2" w:rsidP="009071E2">
      <w:pPr>
        <w:pStyle w:val="TxBrc4"/>
        <w:spacing w:line="240" w:lineRule="auto"/>
        <w:ind w:left="360" w:right="864"/>
        <w:jc w:val="left"/>
        <w:rPr>
          <w:bCs/>
        </w:rPr>
      </w:pPr>
      <w:r w:rsidRPr="009071E2">
        <w:rPr>
          <w:bCs/>
        </w:rPr>
        <w:t>c.</w:t>
      </w:r>
      <w:r w:rsidRPr="009071E2">
        <w:rPr>
          <w:bCs/>
        </w:rPr>
        <w:tab/>
      </w:r>
      <w:r w:rsidR="005D0FDB" w:rsidRPr="009071E2">
        <w:rPr>
          <w:bCs/>
        </w:rPr>
        <w:t>Supervision:</w:t>
      </w:r>
      <w:r w:rsidR="005D0FDB" w:rsidRPr="009071E2">
        <w:rPr>
          <w:bCs/>
        </w:rPr>
        <w:tab/>
      </w:r>
      <w:r w:rsidR="005D0FDB" w:rsidRPr="009071E2">
        <w:rPr>
          <w:bCs/>
        </w:rPr>
        <w:tab/>
        <w:t>FaithHealth Chaplaincy &amp; Education</w:t>
      </w:r>
    </w:p>
    <w:p w14:paraId="7E5B9126" w14:textId="28894A49" w:rsidR="005D0FDB" w:rsidRPr="009071E2" w:rsidRDefault="009071E2" w:rsidP="009071E2">
      <w:pPr>
        <w:pStyle w:val="TxBrc4"/>
        <w:tabs>
          <w:tab w:val="left" w:pos="720"/>
        </w:tabs>
        <w:spacing w:line="240" w:lineRule="auto"/>
        <w:ind w:left="2880" w:right="864" w:hanging="2520"/>
        <w:jc w:val="left"/>
        <w:rPr>
          <w:bCs/>
        </w:rPr>
      </w:pPr>
      <w:r w:rsidRPr="009071E2">
        <w:rPr>
          <w:bCs/>
        </w:rPr>
        <w:t>d.</w:t>
      </w:r>
      <w:r w:rsidRPr="009071E2">
        <w:rPr>
          <w:bCs/>
        </w:rPr>
        <w:tab/>
      </w:r>
      <w:r w:rsidR="005D0FDB" w:rsidRPr="009071E2">
        <w:rPr>
          <w:bCs/>
        </w:rPr>
        <w:t xml:space="preserve">Implementation:   </w:t>
      </w:r>
      <w:r w:rsidR="005D0FDB" w:rsidRPr="009071E2">
        <w:rPr>
          <w:bCs/>
        </w:rPr>
        <w:tab/>
        <w:t xml:space="preserve">Directors of FaithHealth Chaplaincy &amp; Education, CPE Certified Educators, and Administrative Assistants within Department of FaithHealth Chaplaincy &amp; Education </w:t>
      </w:r>
      <w:r w:rsidR="005D0FDB" w:rsidRPr="009071E2">
        <w:rPr>
          <w:bCs/>
        </w:rPr>
        <w:tab/>
      </w:r>
    </w:p>
    <w:p w14:paraId="19DC53C5" w14:textId="77777777" w:rsidR="005D0FDB" w:rsidRPr="00CB6759" w:rsidRDefault="005D0FDB" w:rsidP="005D0FDB">
      <w:pPr>
        <w:pStyle w:val="TxBrc4"/>
        <w:tabs>
          <w:tab w:val="left" w:pos="844"/>
        </w:tabs>
        <w:spacing w:line="240" w:lineRule="auto"/>
        <w:ind w:left="900" w:right="34"/>
        <w:jc w:val="left"/>
        <w:rPr>
          <w:bCs/>
          <w:sz w:val="22"/>
          <w:szCs w:val="22"/>
        </w:rPr>
      </w:pPr>
    </w:p>
    <w:p w14:paraId="348674E0" w14:textId="77777777" w:rsidR="005D0FDB" w:rsidRPr="00CB6759" w:rsidRDefault="005D0FDB" w:rsidP="005D0FDB">
      <w:pPr>
        <w:pStyle w:val="TxBrc4"/>
        <w:numPr>
          <w:ilvl w:val="0"/>
          <w:numId w:val="1"/>
        </w:numPr>
        <w:tabs>
          <w:tab w:val="left" w:pos="844"/>
        </w:tabs>
        <w:spacing w:line="240" w:lineRule="auto"/>
        <w:ind w:right="34"/>
        <w:jc w:val="left"/>
        <w:rPr>
          <w:bCs/>
          <w:sz w:val="22"/>
          <w:szCs w:val="22"/>
        </w:rPr>
      </w:pPr>
      <w:r w:rsidRPr="00CB6759">
        <w:rPr>
          <w:b/>
          <w:bCs/>
          <w:sz w:val="22"/>
          <w:szCs w:val="22"/>
        </w:rPr>
        <w:t xml:space="preserve">Definitions:  </w:t>
      </w:r>
      <w:r>
        <w:rPr>
          <w:bCs/>
          <w:sz w:val="22"/>
          <w:szCs w:val="22"/>
        </w:rPr>
        <w:t>N/A</w:t>
      </w:r>
      <w:r w:rsidRPr="00CB6759">
        <w:rPr>
          <w:bCs/>
          <w:sz w:val="22"/>
          <w:szCs w:val="22"/>
        </w:rPr>
        <w:t xml:space="preserve">  </w:t>
      </w:r>
    </w:p>
    <w:p w14:paraId="253E73B8" w14:textId="77777777" w:rsidR="005D0FDB" w:rsidRPr="00CB6759" w:rsidRDefault="005D0FDB" w:rsidP="005D0FDB">
      <w:pPr>
        <w:pStyle w:val="TxBrc4"/>
        <w:tabs>
          <w:tab w:val="left" w:pos="844"/>
        </w:tabs>
        <w:spacing w:line="240" w:lineRule="auto"/>
        <w:ind w:left="720" w:right="34"/>
        <w:jc w:val="left"/>
        <w:rPr>
          <w:bCs/>
          <w:sz w:val="22"/>
          <w:szCs w:val="22"/>
        </w:rPr>
      </w:pPr>
    </w:p>
    <w:p w14:paraId="67EA121D" w14:textId="77777777" w:rsidR="005D0FDB" w:rsidRPr="00CB6759" w:rsidRDefault="005D0FDB" w:rsidP="009071E2">
      <w:pPr>
        <w:pStyle w:val="TxBrc4"/>
        <w:tabs>
          <w:tab w:val="left" w:pos="844"/>
        </w:tabs>
        <w:spacing w:line="240" w:lineRule="auto"/>
        <w:ind w:right="34"/>
        <w:jc w:val="left"/>
        <w:rPr>
          <w:b/>
          <w:bCs/>
          <w:sz w:val="22"/>
          <w:szCs w:val="22"/>
        </w:rPr>
      </w:pPr>
      <w:r w:rsidRPr="00CB6759">
        <w:rPr>
          <w:b/>
          <w:bCs/>
          <w:sz w:val="22"/>
          <w:szCs w:val="22"/>
        </w:rPr>
        <w:t>Policy Guidelines:</w:t>
      </w:r>
    </w:p>
    <w:p w14:paraId="19C5CC30" w14:textId="11A76D6B" w:rsidR="005D0FDB" w:rsidRDefault="005D0FDB" w:rsidP="009071E2">
      <w:pPr>
        <w:pStyle w:val="TxBrc4"/>
        <w:tabs>
          <w:tab w:val="left" w:pos="844"/>
        </w:tabs>
        <w:spacing w:line="240" w:lineRule="auto"/>
        <w:ind w:right="34"/>
        <w:jc w:val="left"/>
        <w:rPr>
          <w:bCs/>
          <w:sz w:val="22"/>
          <w:szCs w:val="22"/>
        </w:rPr>
      </w:pPr>
      <w:r w:rsidRPr="00CB6759">
        <w:rPr>
          <w:bCs/>
          <w:sz w:val="22"/>
          <w:szCs w:val="22"/>
        </w:rPr>
        <w:t>General Requirements: The following outlines the primary fees associated with completion of one unit of Clinical Pastoral Education</w:t>
      </w:r>
    </w:p>
    <w:p w14:paraId="5F1D67DA" w14:textId="77777777" w:rsidR="009071E2" w:rsidRPr="00CB6759" w:rsidRDefault="009071E2" w:rsidP="009071E2">
      <w:pPr>
        <w:pStyle w:val="TxBrc4"/>
        <w:tabs>
          <w:tab w:val="left" w:pos="844"/>
        </w:tabs>
        <w:spacing w:line="240" w:lineRule="auto"/>
        <w:ind w:right="34"/>
        <w:jc w:val="left"/>
        <w:rPr>
          <w:bCs/>
          <w:sz w:val="22"/>
          <w:szCs w:val="22"/>
        </w:rPr>
      </w:pPr>
    </w:p>
    <w:p w14:paraId="54370542" w14:textId="3F26B6FF" w:rsidR="005D0FDB" w:rsidRDefault="005D0FDB" w:rsidP="009071E2">
      <w:pPr>
        <w:pStyle w:val="TxBrc4"/>
        <w:numPr>
          <w:ilvl w:val="2"/>
          <w:numId w:val="1"/>
        </w:numPr>
        <w:tabs>
          <w:tab w:val="clear" w:pos="2160"/>
        </w:tabs>
        <w:spacing w:line="240" w:lineRule="auto"/>
        <w:ind w:left="360" w:right="34" w:hanging="270"/>
        <w:jc w:val="left"/>
        <w:rPr>
          <w:bCs/>
          <w:sz w:val="22"/>
          <w:szCs w:val="22"/>
        </w:rPr>
      </w:pPr>
      <w:r w:rsidRPr="00724390">
        <w:rPr>
          <w:b/>
          <w:bCs/>
          <w:i/>
          <w:sz w:val="22"/>
          <w:szCs w:val="22"/>
        </w:rPr>
        <w:t>Application Fee</w:t>
      </w:r>
      <w:r w:rsidRPr="00CB6759">
        <w:rPr>
          <w:bCs/>
          <w:sz w:val="22"/>
          <w:szCs w:val="22"/>
        </w:rPr>
        <w:t>: An application fee must be included with application materials in order for the application to be considered.  All application fees are non-refundable except when the program applied for is full or the application is not considered.  Fee schedule is included in the flyer for each CPE Program.</w:t>
      </w:r>
    </w:p>
    <w:p w14:paraId="1A27E7BD" w14:textId="77777777" w:rsidR="009071E2" w:rsidRPr="00CB6759" w:rsidRDefault="009071E2" w:rsidP="009071E2">
      <w:pPr>
        <w:pStyle w:val="TxBrc4"/>
        <w:spacing w:line="240" w:lineRule="auto"/>
        <w:ind w:left="360" w:right="34"/>
        <w:jc w:val="left"/>
        <w:rPr>
          <w:bCs/>
          <w:sz w:val="22"/>
          <w:szCs w:val="22"/>
        </w:rPr>
      </w:pPr>
    </w:p>
    <w:p w14:paraId="5DD19B2D" w14:textId="373E83D8" w:rsidR="005D0FDB" w:rsidRDefault="005D0FDB" w:rsidP="009071E2">
      <w:pPr>
        <w:pStyle w:val="TxBrc4"/>
        <w:numPr>
          <w:ilvl w:val="2"/>
          <w:numId w:val="1"/>
        </w:numPr>
        <w:tabs>
          <w:tab w:val="clear" w:pos="2160"/>
          <w:tab w:val="num" w:pos="450"/>
        </w:tabs>
        <w:spacing w:line="240" w:lineRule="auto"/>
        <w:ind w:left="360" w:right="34" w:hanging="270"/>
        <w:jc w:val="left"/>
        <w:rPr>
          <w:bCs/>
          <w:sz w:val="22"/>
          <w:szCs w:val="22"/>
        </w:rPr>
      </w:pPr>
      <w:r w:rsidRPr="00724390">
        <w:rPr>
          <w:b/>
          <w:bCs/>
          <w:i/>
          <w:sz w:val="22"/>
          <w:szCs w:val="22"/>
        </w:rPr>
        <w:t>Onboarding Fees</w:t>
      </w:r>
      <w:r w:rsidRPr="00CB6759">
        <w:rPr>
          <w:bCs/>
          <w:sz w:val="22"/>
          <w:szCs w:val="22"/>
        </w:rPr>
        <w:t>: Interns are responsible to secure and pay for the criminal background check, immunizations and drug screen required by the medical center.  Costs will vary widely according to where the requirements are completed, the number and location of past addresses, and how current the incoming student’s immunizations are.  Minimum costs for a drug screen and criminal background check are $30.00 each.  Interns also pay a one-time badge fee of $10. Chaplain Residents are not required to pay onboarding fees.</w:t>
      </w:r>
    </w:p>
    <w:p w14:paraId="712C8333" w14:textId="77777777" w:rsidR="00724390" w:rsidRDefault="00724390" w:rsidP="00724390">
      <w:pPr>
        <w:pStyle w:val="ListParagraph"/>
        <w:rPr>
          <w:bCs/>
          <w:sz w:val="22"/>
          <w:szCs w:val="22"/>
        </w:rPr>
      </w:pPr>
    </w:p>
    <w:p w14:paraId="4D3B0442" w14:textId="53B23EBA" w:rsidR="005D0FDB" w:rsidRDefault="005D0FDB" w:rsidP="009071E2">
      <w:pPr>
        <w:pStyle w:val="TxBrc4"/>
        <w:numPr>
          <w:ilvl w:val="2"/>
          <w:numId w:val="1"/>
        </w:numPr>
        <w:tabs>
          <w:tab w:val="clear" w:pos="2160"/>
        </w:tabs>
        <w:spacing w:line="240" w:lineRule="auto"/>
        <w:ind w:left="360" w:right="34" w:hanging="270"/>
        <w:jc w:val="left"/>
        <w:rPr>
          <w:sz w:val="22"/>
          <w:szCs w:val="22"/>
        </w:rPr>
      </w:pPr>
      <w:r w:rsidRPr="00724390">
        <w:rPr>
          <w:b/>
          <w:i/>
          <w:sz w:val="22"/>
          <w:szCs w:val="22"/>
        </w:rPr>
        <w:t>Tuition</w:t>
      </w:r>
      <w:r w:rsidRPr="7C7C39BF">
        <w:rPr>
          <w:sz w:val="22"/>
          <w:szCs w:val="22"/>
        </w:rPr>
        <w:t xml:space="preserve">: Tuition for all units of CPE at Wake Forest Baptist Medical Center is due on the first day of the unit unless application for a student scholarship is pending or a written payment plan is negotiated by the student with the Director of the Department.  All tuition for the unit must be paid by the last day of the unit.  No final evaluation will be issued without confirmation of tuition payment.  If tuition for a unit is not paid in full within thirty (30) calendar days following the completion of the unit, zero credit will be registered for that unit with The Association for Clinical Pastoral Education, Inc. Tuition fees are included in the flyer for each CPE Program, Exhibit A and on the website.  </w:t>
      </w:r>
    </w:p>
    <w:p w14:paraId="1566ED33" w14:textId="77777777" w:rsidR="00724390" w:rsidRDefault="00724390" w:rsidP="00724390">
      <w:pPr>
        <w:pStyle w:val="ListParagraph"/>
        <w:rPr>
          <w:sz w:val="22"/>
          <w:szCs w:val="22"/>
        </w:rPr>
      </w:pPr>
    </w:p>
    <w:p w14:paraId="6C1F3BEE" w14:textId="28A67068" w:rsidR="005D0FDB" w:rsidRDefault="005D0FDB" w:rsidP="009071E2">
      <w:pPr>
        <w:pStyle w:val="TxBrc4"/>
        <w:numPr>
          <w:ilvl w:val="2"/>
          <w:numId w:val="1"/>
        </w:numPr>
        <w:tabs>
          <w:tab w:val="clear" w:pos="2160"/>
        </w:tabs>
        <w:spacing w:line="240" w:lineRule="auto"/>
        <w:ind w:left="360" w:right="34" w:hanging="270"/>
        <w:jc w:val="left"/>
        <w:rPr>
          <w:sz w:val="22"/>
          <w:szCs w:val="22"/>
        </w:rPr>
      </w:pPr>
      <w:r w:rsidRPr="00724390">
        <w:rPr>
          <w:b/>
          <w:i/>
          <w:sz w:val="22"/>
          <w:szCs w:val="22"/>
        </w:rPr>
        <w:t>Unit Fee</w:t>
      </w:r>
      <w:r w:rsidRPr="7C7C39BF">
        <w:rPr>
          <w:sz w:val="22"/>
          <w:szCs w:val="22"/>
        </w:rPr>
        <w:t>: The $150 student unit fee is paid by the center as a student benefit upon the student’s successful completion of the unit and payment in full of the unit tuition.</w:t>
      </w:r>
    </w:p>
    <w:p w14:paraId="047CB48A" w14:textId="77777777" w:rsidR="00724390" w:rsidRDefault="00724390" w:rsidP="00724390">
      <w:pPr>
        <w:pStyle w:val="ListParagraph"/>
        <w:rPr>
          <w:sz w:val="22"/>
          <w:szCs w:val="22"/>
        </w:rPr>
      </w:pPr>
    </w:p>
    <w:p w14:paraId="14330613" w14:textId="77777777" w:rsidR="00724390" w:rsidRPr="00CB6759" w:rsidRDefault="00724390" w:rsidP="00724390">
      <w:pPr>
        <w:pStyle w:val="TxBrc4"/>
        <w:spacing w:line="240" w:lineRule="auto"/>
        <w:ind w:right="34"/>
        <w:jc w:val="left"/>
        <w:rPr>
          <w:sz w:val="22"/>
          <w:szCs w:val="22"/>
        </w:rPr>
      </w:pPr>
    </w:p>
    <w:p w14:paraId="6B8B774B" w14:textId="606C74C6" w:rsidR="00910DD9" w:rsidRDefault="005D0FDB" w:rsidP="00910DD9">
      <w:pPr>
        <w:pStyle w:val="TxBrc4"/>
        <w:numPr>
          <w:ilvl w:val="2"/>
          <w:numId w:val="1"/>
        </w:numPr>
        <w:tabs>
          <w:tab w:val="clear" w:pos="2160"/>
        </w:tabs>
        <w:spacing w:line="240" w:lineRule="auto"/>
        <w:ind w:left="450" w:right="34"/>
        <w:jc w:val="left"/>
        <w:rPr>
          <w:bCs/>
          <w:sz w:val="22"/>
          <w:szCs w:val="22"/>
        </w:rPr>
      </w:pPr>
      <w:r w:rsidRPr="00910DD9">
        <w:rPr>
          <w:b/>
          <w:bCs/>
          <w:i/>
          <w:sz w:val="22"/>
          <w:szCs w:val="22"/>
        </w:rPr>
        <w:t>Resident Non-Refundable Deposit</w:t>
      </w:r>
      <w:r w:rsidRPr="00910DD9">
        <w:rPr>
          <w:bCs/>
          <w:sz w:val="22"/>
          <w:szCs w:val="22"/>
        </w:rPr>
        <w:t>: A non-refundable deposit of $200.00 must accompany the signed Letter of Agreement to confirm and hold the incoming resident’s position in the residency year for which they have been accepted.  This non-refundable deposit will be credited to the resident’s first unit tuition of $400.00.</w:t>
      </w:r>
    </w:p>
    <w:p w14:paraId="3BC8CBF0" w14:textId="77777777" w:rsidR="00910DD9" w:rsidRDefault="00910DD9" w:rsidP="00910DD9">
      <w:pPr>
        <w:pStyle w:val="TxBrc4"/>
        <w:spacing w:line="240" w:lineRule="auto"/>
        <w:ind w:left="900" w:right="34"/>
        <w:jc w:val="left"/>
        <w:rPr>
          <w:bCs/>
          <w:sz w:val="22"/>
          <w:szCs w:val="22"/>
        </w:rPr>
      </w:pPr>
    </w:p>
    <w:p w14:paraId="4CBDC9EF" w14:textId="77777777" w:rsidR="00910DD9" w:rsidRPr="00910DD9" w:rsidRDefault="005D0FDB" w:rsidP="00910DD9">
      <w:pPr>
        <w:pStyle w:val="TxBrc4"/>
        <w:numPr>
          <w:ilvl w:val="2"/>
          <w:numId w:val="1"/>
        </w:numPr>
        <w:tabs>
          <w:tab w:val="clear" w:pos="2160"/>
          <w:tab w:val="num" w:pos="450"/>
        </w:tabs>
        <w:spacing w:line="240" w:lineRule="auto"/>
        <w:ind w:left="450" w:right="34"/>
        <w:jc w:val="left"/>
        <w:rPr>
          <w:sz w:val="22"/>
          <w:szCs w:val="22"/>
        </w:rPr>
      </w:pPr>
      <w:r w:rsidRPr="00910DD9">
        <w:rPr>
          <w:b/>
          <w:bCs/>
          <w:i/>
          <w:sz w:val="22"/>
          <w:szCs w:val="22"/>
        </w:rPr>
        <w:t>Refunds</w:t>
      </w:r>
      <w:r w:rsidRPr="00910DD9">
        <w:rPr>
          <w:bCs/>
          <w:sz w:val="22"/>
          <w:szCs w:val="22"/>
        </w:rPr>
        <w:t>: If a student withdraws or is dismissed from the program according to the Department Policy for Student Probation, Dismissal, Withdrawal from CPE Programs within the first three weeks of the unit, and the tuition has been paid in full, one-half of the tuition will be refunded.  No tuition refund will be issued after three weeks from the beginning of the unit, or if the tu</w:t>
      </w:r>
      <w:r w:rsidR="00910DD9" w:rsidRPr="00910DD9">
        <w:rPr>
          <w:bCs/>
          <w:sz w:val="22"/>
          <w:szCs w:val="22"/>
        </w:rPr>
        <w:t>ition has not been paid in full.</w:t>
      </w:r>
    </w:p>
    <w:p w14:paraId="27F8BC8D" w14:textId="77777777" w:rsidR="00910DD9" w:rsidRDefault="00910DD9" w:rsidP="00910DD9">
      <w:pPr>
        <w:pStyle w:val="ListParagraph"/>
        <w:tabs>
          <w:tab w:val="num" w:pos="450"/>
        </w:tabs>
        <w:ind w:left="450" w:hanging="360"/>
        <w:rPr>
          <w:b/>
          <w:i/>
          <w:sz w:val="22"/>
          <w:szCs w:val="22"/>
        </w:rPr>
      </w:pPr>
    </w:p>
    <w:p w14:paraId="1A8F0E09" w14:textId="33BBF549" w:rsidR="005D0FDB" w:rsidRPr="00910DD9" w:rsidRDefault="005D0FDB" w:rsidP="00910DD9">
      <w:pPr>
        <w:pStyle w:val="TxBrc4"/>
        <w:numPr>
          <w:ilvl w:val="2"/>
          <w:numId w:val="1"/>
        </w:numPr>
        <w:tabs>
          <w:tab w:val="clear" w:pos="2160"/>
          <w:tab w:val="num" w:pos="450"/>
        </w:tabs>
        <w:spacing w:line="240" w:lineRule="auto"/>
        <w:ind w:left="450" w:right="34"/>
        <w:jc w:val="left"/>
        <w:rPr>
          <w:sz w:val="22"/>
          <w:szCs w:val="22"/>
        </w:rPr>
      </w:pPr>
      <w:r w:rsidRPr="00910DD9">
        <w:rPr>
          <w:b/>
          <w:i/>
          <w:sz w:val="22"/>
          <w:szCs w:val="22"/>
        </w:rPr>
        <w:t>Benefits:</w:t>
      </w:r>
      <w:r w:rsidRPr="00910DD9">
        <w:rPr>
          <w:sz w:val="22"/>
          <w:szCs w:val="22"/>
        </w:rPr>
        <w:t xml:space="preserve"> There are no stipends or employee benefits for single-unit programs.  Residents are paid the stipend and receive the benefits outlined in the signed program contract.  </w:t>
      </w:r>
    </w:p>
    <w:p w14:paraId="3CE06758" w14:textId="1BA52861" w:rsidR="00910DD9" w:rsidRDefault="00910DD9" w:rsidP="00910DD9">
      <w:pPr>
        <w:pStyle w:val="PPHeading1"/>
        <w:numPr>
          <w:ilvl w:val="0"/>
          <w:numId w:val="0"/>
        </w:numPr>
        <w:ind w:left="720"/>
      </w:pPr>
    </w:p>
    <w:p w14:paraId="2A0AC3BE" w14:textId="77777777" w:rsidR="00910DD9" w:rsidRPr="00CB6759" w:rsidRDefault="00910DD9" w:rsidP="00910DD9">
      <w:pPr>
        <w:pStyle w:val="PPHeading1"/>
        <w:numPr>
          <w:ilvl w:val="0"/>
          <w:numId w:val="0"/>
        </w:numPr>
        <w:ind w:left="720"/>
      </w:pPr>
    </w:p>
    <w:p w14:paraId="7D1A2810" w14:textId="77777777" w:rsidR="005D0FDB" w:rsidRDefault="005D0FDB" w:rsidP="005D0FDB">
      <w:pPr>
        <w:pStyle w:val="NoSpacing"/>
        <w:rPr>
          <w:rFonts w:ascii="Times New Roman" w:hAnsi="Times New Roman"/>
          <w:lang w:val="en"/>
        </w:rPr>
      </w:pPr>
    </w:p>
    <w:p w14:paraId="6F7FE1E0" w14:textId="77777777" w:rsidR="005D0FDB" w:rsidRPr="00CB6759" w:rsidRDefault="005D0FDB" w:rsidP="005D0FDB">
      <w:pPr>
        <w:pStyle w:val="Heading3"/>
        <w:jc w:val="center"/>
      </w:pPr>
      <w:bookmarkStart w:id="1" w:name="_Toc288046537"/>
      <w:bookmarkStart w:id="2" w:name="_Toc16672272"/>
      <w:r>
        <w:t>2019-2020 Fees, Tuitions &amp; Stipends</w:t>
      </w:r>
      <w:bookmarkEnd w:id="1"/>
      <w:bookmarkEnd w:id="2"/>
    </w:p>
    <w:p w14:paraId="18093627" w14:textId="77777777" w:rsidR="005D0FDB" w:rsidRPr="00CB6759" w:rsidRDefault="005D0FDB" w:rsidP="005D0FDB">
      <w:pPr>
        <w:pStyle w:val="TxBrc4"/>
        <w:tabs>
          <w:tab w:val="left" w:pos="844"/>
        </w:tabs>
        <w:ind w:left="630" w:right="34"/>
        <w:rPr>
          <w:bCs/>
          <w:sz w:val="22"/>
          <w:szCs w:val="22"/>
        </w:rPr>
      </w:pPr>
    </w:p>
    <w:p w14:paraId="346F3FAC" w14:textId="77777777" w:rsidR="005D0FDB" w:rsidRPr="00910DD9" w:rsidRDefault="005D0FDB" w:rsidP="005D0FDB">
      <w:pPr>
        <w:pStyle w:val="TxBrc4"/>
        <w:tabs>
          <w:tab w:val="left" w:pos="844"/>
        </w:tabs>
        <w:ind w:right="34"/>
        <w:jc w:val="left"/>
        <w:rPr>
          <w:b/>
          <w:bCs/>
          <w:sz w:val="22"/>
          <w:szCs w:val="22"/>
          <w:u w:val="single"/>
        </w:rPr>
      </w:pPr>
      <w:r w:rsidRPr="00910DD9">
        <w:rPr>
          <w:b/>
          <w:bCs/>
          <w:sz w:val="22"/>
          <w:szCs w:val="22"/>
          <w:u w:val="single"/>
        </w:rPr>
        <w:t>Fees</w:t>
      </w:r>
    </w:p>
    <w:p w14:paraId="2AEA8A98" w14:textId="77777777" w:rsidR="005D0FDB" w:rsidRDefault="005D0FDB" w:rsidP="005D0FDB">
      <w:pPr>
        <w:pStyle w:val="TxBrc4"/>
        <w:tabs>
          <w:tab w:val="left" w:pos="844"/>
        </w:tabs>
        <w:ind w:right="34"/>
        <w:jc w:val="left"/>
        <w:rPr>
          <w:bCs/>
          <w:sz w:val="22"/>
          <w:szCs w:val="22"/>
        </w:rPr>
      </w:pPr>
      <w:r w:rsidRPr="00CB6759">
        <w:rPr>
          <w:bCs/>
          <w:sz w:val="22"/>
          <w:szCs w:val="22"/>
        </w:rPr>
        <w:t xml:space="preserve">Application Fee for </w:t>
      </w:r>
      <w:r>
        <w:rPr>
          <w:bCs/>
          <w:sz w:val="22"/>
          <w:szCs w:val="22"/>
        </w:rPr>
        <w:t>Intern and Resident Programs:</w:t>
      </w:r>
      <w:r w:rsidRPr="00CB6759">
        <w:rPr>
          <w:bCs/>
          <w:sz w:val="22"/>
          <w:szCs w:val="22"/>
        </w:rPr>
        <w:t xml:space="preserve"> $</w:t>
      </w:r>
      <w:r>
        <w:rPr>
          <w:bCs/>
          <w:sz w:val="22"/>
          <w:szCs w:val="22"/>
        </w:rPr>
        <w:t>3</w:t>
      </w:r>
      <w:r w:rsidRPr="00CB6759">
        <w:rPr>
          <w:bCs/>
          <w:sz w:val="22"/>
          <w:szCs w:val="22"/>
        </w:rPr>
        <w:t>5</w:t>
      </w:r>
    </w:p>
    <w:p w14:paraId="02D3AC49" w14:textId="77777777" w:rsidR="005D0FDB" w:rsidRPr="00CB6759" w:rsidRDefault="005D0FDB" w:rsidP="005D0FDB">
      <w:pPr>
        <w:pStyle w:val="TxBrc4"/>
        <w:tabs>
          <w:tab w:val="left" w:pos="844"/>
        </w:tabs>
        <w:ind w:right="34"/>
        <w:jc w:val="left"/>
        <w:rPr>
          <w:bCs/>
          <w:sz w:val="22"/>
          <w:szCs w:val="22"/>
        </w:rPr>
      </w:pPr>
      <w:r>
        <w:rPr>
          <w:bCs/>
          <w:sz w:val="22"/>
          <w:szCs w:val="22"/>
        </w:rPr>
        <w:t>Application Fee for Certified Educator Program: $75 (local) $350 (National)</w:t>
      </w:r>
    </w:p>
    <w:p w14:paraId="0D850F71" w14:textId="1068B65D" w:rsidR="005D0FDB" w:rsidRPr="00CB6759" w:rsidRDefault="005D0FDB" w:rsidP="005D0FDB">
      <w:pPr>
        <w:pStyle w:val="TxBrc4"/>
        <w:tabs>
          <w:tab w:val="left" w:pos="844"/>
        </w:tabs>
        <w:ind w:right="34"/>
        <w:jc w:val="left"/>
        <w:rPr>
          <w:bCs/>
          <w:sz w:val="22"/>
          <w:szCs w:val="22"/>
        </w:rPr>
      </w:pPr>
      <w:r w:rsidRPr="00CB6759">
        <w:rPr>
          <w:bCs/>
          <w:sz w:val="22"/>
          <w:szCs w:val="22"/>
        </w:rPr>
        <w:t xml:space="preserve">Onboarding fees: See </w:t>
      </w:r>
      <w:r w:rsidR="00724390">
        <w:rPr>
          <w:bCs/>
          <w:sz w:val="22"/>
          <w:szCs w:val="22"/>
        </w:rPr>
        <w:t>above</w:t>
      </w:r>
    </w:p>
    <w:p w14:paraId="44AE07E4" w14:textId="1C28CF33" w:rsidR="005D0FDB" w:rsidRPr="00CB6759" w:rsidRDefault="005D0FDB" w:rsidP="005D0FDB">
      <w:pPr>
        <w:pStyle w:val="TxBrc4"/>
        <w:tabs>
          <w:tab w:val="left" w:pos="844"/>
        </w:tabs>
        <w:ind w:right="34"/>
        <w:jc w:val="left"/>
        <w:rPr>
          <w:bCs/>
          <w:sz w:val="22"/>
          <w:szCs w:val="22"/>
        </w:rPr>
      </w:pPr>
      <w:r w:rsidRPr="00CB6759">
        <w:rPr>
          <w:bCs/>
          <w:sz w:val="22"/>
          <w:szCs w:val="22"/>
        </w:rPr>
        <w:t>Student Unit Fee: See above</w:t>
      </w:r>
    </w:p>
    <w:p w14:paraId="63719C41" w14:textId="197C2B46" w:rsidR="005D0FDB" w:rsidRPr="00CB6759" w:rsidRDefault="005D0FDB" w:rsidP="005D0FDB">
      <w:pPr>
        <w:pStyle w:val="TxBrc4"/>
        <w:tabs>
          <w:tab w:val="left" w:pos="844"/>
        </w:tabs>
        <w:ind w:right="34"/>
        <w:jc w:val="left"/>
        <w:rPr>
          <w:bCs/>
          <w:sz w:val="22"/>
          <w:szCs w:val="22"/>
        </w:rPr>
      </w:pPr>
      <w:r w:rsidRPr="00CB6759">
        <w:rPr>
          <w:bCs/>
          <w:sz w:val="22"/>
          <w:szCs w:val="22"/>
        </w:rPr>
        <w:t xml:space="preserve">Non-Refundable Deposit: See </w:t>
      </w:r>
      <w:r w:rsidR="00724390">
        <w:rPr>
          <w:bCs/>
          <w:sz w:val="22"/>
          <w:szCs w:val="22"/>
        </w:rPr>
        <w:t>above</w:t>
      </w:r>
    </w:p>
    <w:p w14:paraId="18844F12" w14:textId="77777777" w:rsidR="005D0FDB" w:rsidRPr="00CB6759" w:rsidRDefault="005D0FDB" w:rsidP="005D0FDB">
      <w:pPr>
        <w:pStyle w:val="TxBrc4"/>
        <w:tabs>
          <w:tab w:val="left" w:pos="844"/>
        </w:tabs>
        <w:ind w:right="34"/>
        <w:jc w:val="left"/>
        <w:rPr>
          <w:bCs/>
          <w:sz w:val="22"/>
          <w:szCs w:val="22"/>
        </w:rPr>
      </w:pPr>
    </w:p>
    <w:p w14:paraId="26DA16C5" w14:textId="77777777" w:rsidR="005D0FDB" w:rsidRPr="00910DD9" w:rsidRDefault="005D0FDB" w:rsidP="005D0FDB">
      <w:pPr>
        <w:pStyle w:val="TxBrc4"/>
        <w:tabs>
          <w:tab w:val="left" w:pos="844"/>
        </w:tabs>
        <w:ind w:right="34"/>
        <w:jc w:val="left"/>
        <w:rPr>
          <w:b/>
          <w:bCs/>
          <w:sz w:val="22"/>
          <w:szCs w:val="22"/>
          <w:u w:val="single"/>
        </w:rPr>
      </w:pPr>
      <w:r w:rsidRPr="00910DD9">
        <w:rPr>
          <w:b/>
          <w:bCs/>
          <w:sz w:val="22"/>
          <w:szCs w:val="22"/>
          <w:u w:val="single"/>
        </w:rPr>
        <w:t>Tuitions (per unit)</w:t>
      </w:r>
    </w:p>
    <w:p w14:paraId="17A84402" w14:textId="77777777" w:rsidR="005D0FDB" w:rsidRPr="00CB6759" w:rsidRDefault="005D0FDB" w:rsidP="005D0FDB">
      <w:pPr>
        <w:pStyle w:val="TxBrc4"/>
        <w:tabs>
          <w:tab w:val="left" w:pos="844"/>
        </w:tabs>
        <w:ind w:right="34"/>
        <w:jc w:val="left"/>
        <w:rPr>
          <w:bCs/>
          <w:sz w:val="22"/>
          <w:szCs w:val="22"/>
        </w:rPr>
      </w:pPr>
      <w:r w:rsidRPr="00CB6759">
        <w:rPr>
          <w:bCs/>
          <w:sz w:val="22"/>
          <w:szCs w:val="22"/>
        </w:rPr>
        <w:t>Resident</w:t>
      </w:r>
      <w:r w:rsidRPr="00CB6759">
        <w:rPr>
          <w:bCs/>
          <w:sz w:val="22"/>
          <w:szCs w:val="22"/>
        </w:rPr>
        <w:tab/>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00CB6759">
        <w:rPr>
          <w:bCs/>
          <w:sz w:val="22"/>
          <w:szCs w:val="22"/>
        </w:rPr>
        <w:t>$400</w:t>
      </w:r>
    </w:p>
    <w:p w14:paraId="2D45BC4C"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Certified Educator Resident I, II, III </w:t>
      </w:r>
      <w:r w:rsidRPr="00CB6759">
        <w:rPr>
          <w:bCs/>
          <w:sz w:val="22"/>
          <w:szCs w:val="22"/>
        </w:rPr>
        <w:tab/>
      </w:r>
      <w:r w:rsidRPr="7C7C39BF">
        <w:rPr>
          <w:sz w:val="22"/>
          <w:szCs w:val="22"/>
        </w:rPr>
        <w:t>$400</w:t>
      </w:r>
    </w:p>
    <w:p w14:paraId="67557298" w14:textId="1DBEF88E" w:rsidR="005D0FDB" w:rsidRPr="00CB6759" w:rsidRDefault="005D0FDB" w:rsidP="005D0FDB">
      <w:pPr>
        <w:pStyle w:val="TxBrc4"/>
        <w:tabs>
          <w:tab w:val="left" w:pos="844"/>
        </w:tabs>
        <w:ind w:right="34"/>
        <w:jc w:val="left"/>
        <w:rPr>
          <w:bCs/>
          <w:sz w:val="22"/>
          <w:szCs w:val="22"/>
        </w:rPr>
      </w:pPr>
      <w:r w:rsidRPr="00CB6759">
        <w:rPr>
          <w:bCs/>
          <w:sz w:val="22"/>
          <w:szCs w:val="22"/>
        </w:rPr>
        <w:t>Congregation-Based</w:t>
      </w:r>
      <w:r w:rsidRPr="00CB6759">
        <w:rPr>
          <w:bCs/>
          <w:sz w:val="22"/>
          <w:szCs w:val="22"/>
        </w:rPr>
        <w:tab/>
      </w:r>
      <w:r w:rsidRPr="00CB6759">
        <w:rPr>
          <w:bCs/>
          <w:sz w:val="22"/>
          <w:szCs w:val="22"/>
        </w:rPr>
        <w:tab/>
      </w:r>
      <w:r w:rsidR="00082355">
        <w:rPr>
          <w:bCs/>
          <w:sz w:val="22"/>
          <w:szCs w:val="22"/>
        </w:rPr>
        <w:tab/>
      </w:r>
      <w:r w:rsidRPr="00CB6759">
        <w:rPr>
          <w:bCs/>
          <w:sz w:val="22"/>
          <w:szCs w:val="22"/>
        </w:rPr>
        <w:t>$</w:t>
      </w:r>
      <w:r>
        <w:rPr>
          <w:bCs/>
          <w:sz w:val="22"/>
          <w:szCs w:val="22"/>
        </w:rPr>
        <w:t>6</w:t>
      </w:r>
      <w:r w:rsidRPr="00CB6759">
        <w:rPr>
          <w:bCs/>
          <w:sz w:val="22"/>
          <w:szCs w:val="22"/>
        </w:rPr>
        <w:t>50</w:t>
      </w:r>
      <w:r>
        <w:rPr>
          <w:bCs/>
          <w:sz w:val="22"/>
          <w:szCs w:val="22"/>
        </w:rPr>
        <w:t xml:space="preserve">  (if </w:t>
      </w:r>
      <w:r w:rsidR="00910DD9">
        <w:rPr>
          <w:bCs/>
          <w:sz w:val="22"/>
          <w:szCs w:val="22"/>
        </w:rPr>
        <w:t>less than 6</w:t>
      </w:r>
      <w:r>
        <w:rPr>
          <w:bCs/>
          <w:sz w:val="22"/>
          <w:szCs w:val="22"/>
        </w:rPr>
        <w:t xml:space="preserve"> clinical hours in hospital)</w:t>
      </w:r>
    </w:p>
    <w:p w14:paraId="541A19E5"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Hospital-Based </w:t>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7C7C39BF">
        <w:rPr>
          <w:sz w:val="22"/>
          <w:szCs w:val="22"/>
        </w:rPr>
        <w:t>$400</w:t>
      </w:r>
    </w:p>
    <w:p w14:paraId="08603685" w14:textId="77777777" w:rsidR="005D0FDB" w:rsidRPr="00CB6759" w:rsidRDefault="005D0FDB" w:rsidP="005D0FDB">
      <w:pPr>
        <w:pStyle w:val="TxBrc4"/>
        <w:tabs>
          <w:tab w:val="left" w:pos="844"/>
        </w:tabs>
        <w:ind w:right="34"/>
        <w:jc w:val="left"/>
        <w:rPr>
          <w:bCs/>
          <w:sz w:val="22"/>
          <w:szCs w:val="22"/>
        </w:rPr>
      </w:pPr>
    </w:p>
    <w:p w14:paraId="6E183500" w14:textId="77777777" w:rsidR="005D0FDB" w:rsidRPr="00910DD9" w:rsidRDefault="005D0FDB" w:rsidP="005D0FDB">
      <w:pPr>
        <w:pStyle w:val="TxBrc4"/>
        <w:tabs>
          <w:tab w:val="left" w:pos="844"/>
        </w:tabs>
        <w:ind w:right="34"/>
        <w:jc w:val="left"/>
        <w:rPr>
          <w:b/>
          <w:bCs/>
          <w:sz w:val="22"/>
          <w:szCs w:val="22"/>
          <w:u w:val="single"/>
        </w:rPr>
      </w:pPr>
      <w:r w:rsidRPr="00910DD9">
        <w:rPr>
          <w:b/>
          <w:bCs/>
          <w:sz w:val="22"/>
          <w:szCs w:val="22"/>
          <w:u w:val="single"/>
        </w:rPr>
        <w:t>Annual Stipends</w:t>
      </w:r>
    </w:p>
    <w:p w14:paraId="31B6330B"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Resident I </w:t>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7C7C39BF">
        <w:rPr>
          <w:sz w:val="22"/>
          <w:szCs w:val="22"/>
        </w:rPr>
        <w:t xml:space="preserve">$31,000 </w:t>
      </w:r>
    </w:p>
    <w:p w14:paraId="35D0F228" w14:textId="77777777" w:rsidR="005D0FDB" w:rsidRPr="00CB6759" w:rsidRDefault="005D0FDB" w:rsidP="005D0FDB">
      <w:pPr>
        <w:pStyle w:val="TxBrc4"/>
        <w:tabs>
          <w:tab w:val="left" w:pos="844"/>
        </w:tabs>
        <w:ind w:right="34"/>
        <w:jc w:val="left"/>
        <w:rPr>
          <w:bCs/>
          <w:sz w:val="22"/>
          <w:szCs w:val="22"/>
        </w:rPr>
      </w:pPr>
      <w:r>
        <w:rPr>
          <w:bCs/>
          <w:sz w:val="22"/>
          <w:szCs w:val="22"/>
        </w:rPr>
        <w:t>Certified Educator</w:t>
      </w:r>
      <w:r w:rsidRPr="00CB6759">
        <w:rPr>
          <w:bCs/>
          <w:sz w:val="22"/>
          <w:szCs w:val="22"/>
        </w:rPr>
        <w:t xml:space="preserve"> Resident I</w:t>
      </w:r>
      <w:r w:rsidRPr="00CB6759">
        <w:rPr>
          <w:bCs/>
          <w:sz w:val="22"/>
          <w:szCs w:val="22"/>
        </w:rPr>
        <w:tab/>
      </w:r>
      <w:r w:rsidRPr="00CB6759">
        <w:rPr>
          <w:bCs/>
          <w:sz w:val="22"/>
          <w:szCs w:val="22"/>
        </w:rPr>
        <w:tab/>
        <w:t>$3</w:t>
      </w:r>
      <w:r>
        <w:rPr>
          <w:bCs/>
          <w:sz w:val="22"/>
          <w:szCs w:val="22"/>
        </w:rPr>
        <w:t>3</w:t>
      </w:r>
      <w:r w:rsidRPr="00CB6759">
        <w:rPr>
          <w:bCs/>
          <w:sz w:val="22"/>
          <w:szCs w:val="22"/>
        </w:rPr>
        <w:t>,000</w:t>
      </w:r>
    </w:p>
    <w:p w14:paraId="2BE6B51C" w14:textId="77777777" w:rsidR="005D0FDB" w:rsidRPr="00CB6759" w:rsidRDefault="005D0FDB" w:rsidP="005D0FDB">
      <w:pPr>
        <w:pStyle w:val="TxBrc4"/>
        <w:tabs>
          <w:tab w:val="left" w:pos="844"/>
        </w:tabs>
        <w:ind w:right="34"/>
        <w:jc w:val="left"/>
        <w:rPr>
          <w:bCs/>
          <w:sz w:val="22"/>
          <w:szCs w:val="22"/>
        </w:rPr>
      </w:pPr>
      <w:r>
        <w:rPr>
          <w:bCs/>
          <w:sz w:val="22"/>
          <w:szCs w:val="22"/>
        </w:rPr>
        <w:t>Certified Educator</w:t>
      </w:r>
      <w:r w:rsidRPr="00CB6759">
        <w:rPr>
          <w:bCs/>
          <w:sz w:val="22"/>
          <w:szCs w:val="22"/>
        </w:rPr>
        <w:t xml:space="preserve"> Resident II</w:t>
      </w:r>
      <w:r w:rsidRPr="00CB6759">
        <w:rPr>
          <w:bCs/>
          <w:sz w:val="22"/>
          <w:szCs w:val="22"/>
        </w:rPr>
        <w:tab/>
      </w:r>
      <w:r w:rsidRPr="00CB6759">
        <w:rPr>
          <w:bCs/>
          <w:sz w:val="22"/>
          <w:szCs w:val="22"/>
        </w:rPr>
        <w:tab/>
        <w:t>$3</w:t>
      </w:r>
      <w:r>
        <w:rPr>
          <w:bCs/>
          <w:sz w:val="22"/>
          <w:szCs w:val="22"/>
        </w:rPr>
        <w:t>4</w:t>
      </w:r>
      <w:r w:rsidRPr="00CB6759">
        <w:rPr>
          <w:bCs/>
          <w:sz w:val="22"/>
          <w:szCs w:val="22"/>
        </w:rPr>
        <w:t>,000</w:t>
      </w:r>
    </w:p>
    <w:p w14:paraId="4CBEBF13" w14:textId="77777777" w:rsidR="005D0FDB" w:rsidRPr="00CB6759" w:rsidRDefault="005D0FDB" w:rsidP="005D0FDB">
      <w:pPr>
        <w:pStyle w:val="TxBrc4"/>
        <w:tabs>
          <w:tab w:val="left" w:pos="844"/>
        </w:tabs>
        <w:ind w:right="34"/>
        <w:jc w:val="left"/>
        <w:rPr>
          <w:bCs/>
          <w:sz w:val="22"/>
          <w:szCs w:val="22"/>
        </w:rPr>
      </w:pPr>
      <w:r>
        <w:rPr>
          <w:bCs/>
          <w:sz w:val="22"/>
          <w:szCs w:val="22"/>
        </w:rPr>
        <w:t xml:space="preserve">Certified Educator </w:t>
      </w:r>
      <w:r w:rsidRPr="00CB6759">
        <w:rPr>
          <w:bCs/>
          <w:sz w:val="22"/>
          <w:szCs w:val="22"/>
        </w:rPr>
        <w:t>Resident III</w:t>
      </w:r>
      <w:r w:rsidRPr="00CB6759">
        <w:rPr>
          <w:bCs/>
          <w:sz w:val="22"/>
          <w:szCs w:val="22"/>
        </w:rPr>
        <w:tab/>
      </w:r>
      <w:r w:rsidR="00082355">
        <w:rPr>
          <w:bCs/>
          <w:sz w:val="22"/>
          <w:szCs w:val="22"/>
        </w:rPr>
        <w:tab/>
      </w:r>
      <w:r w:rsidRPr="00CB6759">
        <w:rPr>
          <w:bCs/>
          <w:sz w:val="22"/>
          <w:szCs w:val="22"/>
        </w:rPr>
        <w:t>$3</w:t>
      </w:r>
      <w:r>
        <w:rPr>
          <w:bCs/>
          <w:sz w:val="22"/>
          <w:szCs w:val="22"/>
        </w:rPr>
        <w:t>5</w:t>
      </w:r>
      <w:r w:rsidRPr="00CB6759">
        <w:rPr>
          <w:bCs/>
          <w:sz w:val="22"/>
          <w:szCs w:val="22"/>
        </w:rPr>
        <w:t>,000</w:t>
      </w:r>
    </w:p>
    <w:p w14:paraId="4CB515D1"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Congregation-Based </w:t>
      </w:r>
      <w:r w:rsidRPr="00CB6759">
        <w:rPr>
          <w:bCs/>
          <w:sz w:val="22"/>
          <w:szCs w:val="22"/>
        </w:rPr>
        <w:tab/>
      </w:r>
      <w:r w:rsidRPr="00CB6759">
        <w:rPr>
          <w:bCs/>
          <w:sz w:val="22"/>
          <w:szCs w:val="22"/>
        </w:rPr>
        <w:tab/>
      </w:r>
      <w:r w:rsidR="00082355">
        <w:rPr>
          <w:bCs/>
          <w:sz w:val="22"/>
          <w:szCs w:val="22"/>
        </w:rPr>
        <w:tab/>
      </w:r>
      <w:r w:rsidRPr="7C7C39BF">
        <w:rPr>
          <w:sz w:val="22"/>
          <w:szCs w:val="22"/>
        </w:rPr>
        <w:t>None</w:t>
      </w:r>
    </w:p>
    <w:p w14:paraId="5A12CB91" w14:textId="77777777" w:rsidR="005D0FDB" w:rsidRPr="00CB6759" w:rsidRDefault="005D0FDB" w:rsidP="005D0FDB">
      <w:pPr>
        <w:pStyle w:val="TxBrc4"/>
        <w:tabs>
          <w:tab w:val="left" w:pos="844"/>
        </w:tabs>
        <w:ind w:right="34"/>
        <w:jc w:val="left"/>
        <w:rPr>
          <w:sz w:val="22"/>
          <w:szCs w:val="22"/>
        </w:rPr>
      </w:pPr>
      <w:r w:rsidRPr="7C7C39BF">
        <w:rPr>
          <w:sz w:val="22"/>
          <w:szCs w:val="22"/>
        </w:rPr>
        <w:t xml:space="preserve">Hospital-Based </w:t>
      </w:r>
      <w:r w:rsidRPr="00CB6759">
        <w:rPr>
          <w:bCs/>
          <w:sz w:val="22"/>
          <w:szCs w:val="22"/>
        </w:rPr>
        <w:tab/>
      </w:r>
      <w:r w:rsidRPr="00CB6759">
        <w:rPr>
          <w:bCs/>
          <w:sz w:val="22"/>
          <w:szCs w:val="22"/>
        </w:rPr>
        <w:tab/>
      </w:r>
      <w:r w:rsidRPr="00CB6759">
        <w:rPr>
          <w:bCs/>
          <w:sz w:val="22"/>
          <w:szCs w:val="22"/>
        </w:rPr>
        <w:tab/>
      </w:r>
      <w:r w:rsidR="00082355">
        <w:rPr>
          <w:bCs/>
          <w:sz w:val="22"/>
          <w:szCs w:val="22"/>
        </w:rPr>
        <w:tab/>
      </w:r>
      <w:r w:rsidRPr="7C7C39BF">
        <w:rPr>
          <w:sz w:val="22"/>
          <w:szCs w:val="22"/>
        </w:rPr>
        <w:t>None</w:t>
      </w:r>
    </w:p>
    <w:sectPr w:rsidR="005D0FDB" w:rsidRPr="00CB6759" w:rsidSect="005D0FDB">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4B3A"/>
    <w:multiLevelType w:val="hybridMultilevel"/>
    <w:tmpl w:val="714E2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6E7877"/>
    <w:multiLevelType w:val="hybridMultilevel"/>
    <w:tmpl w:val="1974B65E"/>
    <w:lvl w:ilvl="0" w:tplc="04090019">
      <w:start w:val="1"/>
      <w:numFmt w:val="lowerLetter"/>
      <w:pStyle w:val="PP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184E24"/>
    <w:multiLevelType w:val="hybridMultilevel"/>
    <w:tmpl w:val="037E4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C450007"/>
    <w:multiLevelType w:val="hybridMultilevel"/>
    <w:tmpl w:val="ECB0ACC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2C11D1F"/>
    <w:multiLevelType w:val="hybridMultilevel"/>
    <w:tmpl w:val="A63840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B0DDB"/>
    <w:multiLevelType w:val="multilevel"/>
    <w:tmpl w:val="FA182986"/>
    <w:lvl w:ilvl="0">
      <w:start w:val="1"/>
      <w:numFmt w:val="decimal"/>
      <w:lvlText w:val="%1)"/>
      <w:lvlJc w:val="left"/>
      <w:pPr>
        <w:ind w:left="360" w:hanging="360"/>
      </w:pPr>
      <w:rPr>
        <w:rFonts w:hint="default"/>
        <w:b w:val="0"/>
      </w:rPr>
    </w:lvl>
    <w:lvl w:ilvl="1">
      <w:start w:val="1"/>
      <w:numFmt w:val="lowerLetter"/>
      <w:lvlText w:val="%2)"/>
      <w:lvlJc w:val="left"/>
      <w:pPr>
        <w:ind w:left="810" w:hanging="360"/>
      </w:pPr>
      <w:rPr>
        <w:rFonts w:hint="default"/>
        <w:color w:val="auto"/>
      </w:rPr>
    </w:lvl>
    <w:lvl w:ilvl="2">
      <w:start w:val="1"/>
      <w:numFmt w:val="lowerRoman"/>
      <w:lvlText w:val="%3."/>
      <w:lvlJc w:val="righ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bullet"/>
      <w:lvlText w:val=""/>
      <w:lvlJc w:val="left"/>
      <w:pPr>
        <w:ind w:left="2520" w:hanging="360"/>
      </w:pPr>
      <w:rPr>
        <w:rFonts w:ascii="Wingdings" w:hAnsi="Wingdings" w:hint="default"/>
      </w:rPr>
    </w:lvl>
    <w:lvl w:ilvl="7">
      <w:start w:val="1"/>
      <w:numFmt w:val="lowerLetter"/>
      <w:lvlText w:val="%8."/>
      <w:lvlJc w:val="left"/>
      <w:pPr>
        <w:ind w:left="2880" w:hanging="360"/>
      </w:pPr>
    </w:lvl>
    <w:lvl w:ilvl="8">
      <w:start w:val="1"/>
      <w:numFmt w:val="lowerRoman"/>
      <w:lvlText w:val="%9."/>
      <w:lvlJc w:val="left"/>
      <w:pPr>
        <w:ind w:left="990" w:hanging="360"/>
      </w:pPr>
    </w:lvl>
  </w:abstractNum>
  <w:abstractNum w:abstractNumId="6" w15:restartNumberingAfterBreak="0">
    <w:nsid w:val="7D3407D0"/>
    <w:multiLevelType w:val="multilevel"/>
    <w:tmpl w:val="042A24DA"/>
    <w:lvl w:ilvl="0">
      <w:start w:val="1"/>
      <w:numFmt w:val="bullet"/>
      <w:pStyle w:val="PPHeading1"/>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lvlOverride w:ilvl="0">
      <w:startOverride w:val="1"/>
    </w:lvlOverride>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DB"/>
    <w:rsid w:val="00082355"/>
    <w:rsid w:val="0019169A"/>
    <w:rsid w:val="00227E0C"/>
    <w:rsid w:val="002348DC"/>
    <w:rsid w:val="003F673D"/>
    <w:rsid w:val="00475BA4"/>
    <w:rsid w:val="004D26D4"/>
    <w:rsid w:val="005D0FDB"/>
    <w:rsid w:val="00664A2A"/>
    <w:rsid w:val="00685243"/>
    <w:rsid w:val="00724390"/>
    <w:rsid w:val="007555CD"/>
    <w:rsid w:val="0084000E"/>
    <w:rsid w:val="00896A8B"/>
    <w:rsid w:val="008C5314"/>
    <w:rsid w:val="009071E2"/>
    <w:rsid w:val="00910DD9"/>
    <w:rsid w:val="009761BC"/>
    <w:rsid w:val="009F23CF"/>
    <w:rsid w:val="00C0007B"/>
    <w:rsid w:val="00C52739"/>
    <w:rsid w:val="00DA1551"/>
    <w:rsid w:val="00E12D1F"/>
    <w:rsid w:val="00FE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3672"/>
  <w15:chartTrackingRefBased/>
  <w15:docId w15:val="{05FBA5D0-DD3D-4F2A-AB97-8CD5B7F6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D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5D0FDB"/>
    <w:pPr>
      <w:keepNext/>
      <w:tabs>
        <w:tab w:val="right" w:pos="9498"/>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0FDB"/>
    <w:pPr>
      <w:spacing w:after="0" w:line="240" w:lineRule="auto"/>
    </w:pPr>
    <w:rPr>
      <w:rFonts w:ascii="Calibri" w:hAnsi="Calibri" w:cs="Times New Roman"/>
    </w:rPr>
  </w:style>
  <w:style w:type="paragraph" w:customStyle="1" w:styleId="TxBrp1">
    <w:name w:val="TxBr_p1"/>
    <w:basedOn w:val="Normal"/>
    <w:rsid w:val="005D0FDB"/>
    <w:pPr>
      <w:widowControl w:val="0"/>
      <w:tabs>
        <w:tab w:val="left" w:pos="204"/>
      </w:tabs>
      <w:autoSpaceDE w:val="0"/>
      <w:autoSpaceDN w:val="0"/>
      <w:spacing w:line="240" w:lineRule="atLeast"/>
    </w:pPr>
    <w:rPr>
      <w:sz w:val="24"/>
      <w:szCs w:val="24"/>
    </w:rPr>
  </w:style>
  <w:style w:type="paragraph" w:customStyle="1" w:styleId="TxBrc4">
    <w:name w:val="TxBr_c4"/>
    <w:basedOn w:val="Normal"/>
    <w:link w:val="TxBrc4Char"/>
    <w:rsid w:val="005D0FDB"/>
    <w:pPr>
      <w:widowControl w:val="0"/>
      <w:autoSpaceDE w:val="0"/>
      <w:autoSpaceDN w:val="0"/>
      <w:spacing w:line="240" w:lineRule="atLeast"/>
      <w:jc w:val="center"/>
    </w:pPr>
    <w:rPr>
      <w:sz w:val="24"/>
      <w:szCs w:val="24"/>
    </w:rPr>
  </w:style>
  <w:style w:type="paragraph" w:customStyle="1" w:styleId="PPHeading1">
    <w:name w:val="PP Heading 1"/>
    <w:basedOn w:val="TxBrc4"/>
    <w:link w:val="PPHeading1Char"/>
    <w:qFormat/>
    <w:rsid w:val="005D0FDB"/>
    <w:pPr>
      <w:numPr>
        <w:numId w:val="1"/>
      </w:numPr>
      <w:tabs>
        <w:tab w:val="left" w:pos="844"/>
      </w:tabs>
      <w:spacing w:line="240" w:lineRule="auto"/>
      <w:ind w:right="34"/>
      <w:jc w:val="left"/>
    </w:pPr>
    <w:rPr>
      <w:b/>
      <w:bCs/>
    </w:rPr>
  </w:style>
  <w:style w:type="paragraph" w:customStyle="1" w:styleId="PPHeading2">
    <w:name w:val="PP Heading 2"/>
    <w:basedOn w:val="TxBrc4"/>
    <w:link w:val="PPHeading2Char"/>
    <w:qFormat/>
    <w:rsid w:val="005D0FDB"/>
    <w:pPr>
      <w:tabs>
        <w:tab w:val="left" w:pos="844"/>
      </w:tabs>
      <w:spacing w:line="240" w:lineRule="auto"/>
      <w:ind w:left="720" w:right="864" w:hanging="360"/>
      <w:jc w:val="left"/>
    </w:pPr>
    <w:rPr>
      <w:bCs/>
    </w:rPr>
  </w:style>
  <w:style w:type="character" w:customStyle="1" w:styleId="TxBrc4Char">
    <w:name w:val="TxBr_c4 Char"/>
    <w:basedOn w:val="DefaultParagraphFont"/>
    <w:link w:val="TxBrc4"/>
    <w:rsid w:val="005D0FDB"/>
    <w:rPr>
      <w:rFonts w:ascii="Times New Roman" w:eastAsia="Times New Roman" w:hAnsi="Times New Roman" w:cs="Times New Roman"/>
      <w:sz w:val="24"/>
      <w:szCs w:val="24"/>
    </w:rPr>
  </w:style>
  <w:style w:type="character" w:customStyle="1" w:styleId="PPHeading1Char">
    <w:name w:val="PP Heading 1 Char"/>
    <w:basedOn w:val="TxBrc4Char"/>
    <w:link w:val="PPHeading1"/>
    <w:rsid w:val="005D0FDB"/>
    <w:rPr>
      <w:rFonts w:ascii="Times New Roman" w:eastAsia="Times New Roman" w:hAnsi="Times New Roman" w:cs="Times New Roman"/>
      <w:b/>
      <w:bCs/>
      <w:sz w:val="24"/>
      <w:szCs w:val="24"/>
    </w:rPr>
  </w:style>
  <w:style w:type="paragraph" w:customStyle="1" w:styleId="PPHeading3">
    <w:name w:val="PP Heading 3"/>
    <w:basedOn w:val="TxBrc4"/>
    <w:link w:val="PPHeading3Char"/>
    <w:qFormat/>
    <w:rsid w:val="005D0FDB"/>
    <w:pPr>
      <w:numPr>
        <w:numId w:val="2"/>
      </w:numPr>
      <w:tabs>
        <w:tab w:val="clear" w:pos="720"/>
        <w:tab w:val="left" w:pos="844"/>
      </w:tabs>
      <w:spacing w:line="240" w:lineRule="auto"/>
      <w:ind w:left="1564" w:right="864"/>
      <w:jc w:val="left"/>
    </w:pPr>
    <w:rPr>
      <w:bCs/>
    </w:rPr>
  </w:style>
  <w:style w:type="character" w:customStyle="1" w:styleId="PPHeading2Char">
    <w:name w:val="PP Heading 2 Char"/>
    <w:basedOn w:val="TxBrc4Char"/>
    <w:link w:val="PPHeading2"/>
    <w:rsid w:val="005D0FDB"/>
    <w:rPr>
      <w:rFonts w:ascii="Times New Roman" w:eastAsia="Times New Roman" w:hAnsi="Times New Roman" w:cs="Times New Roman"/>
      <w:bCs/>
      <w:sz w:val="24"/>
      <w:szCs w:val="24"/>
    </w:rPr>
  </w:style>
  <w:style w:type="character" w:customStyle="1" w:styleId="PPHeading3Char">
    <w:name w:val="PP Heading 3 Char"/>
    <w:basedOn w:val="TxBrc4Char"/>
    <w:link w:val="PPHeading3"/>
    <w:rsid w:val="005D0FDB"/>
    <w:rPr>
      <w:rFonts w:ascii="Times New Roman" w:eastAsia="Times New Roman" w:hAnsi="Times New Roman" w:cs="Times New Roman"/>
      <w:bCs/>
      <w:sz w:val="24"/>
      <w:szCs w:val="24"/>
    </w:rPr>
  </w:style>
  <w:style w:type="character" w:customStyle="1" w:styleId="caps">
    <w:name w:val="caps"/>
    <w:basedOn w:val="DefaultParagraphFont"/>
    <w:rsid w:val="005D0FDB"/>
  </w:style>
  <w:style w:type="character" w:customStyle="1" w:styleId="Heading3Char">
    <w:name w:val="Heading 3 Char"/>
    <w:basedOn w:val="DefaultParagraphFont"/>
    <w:link w:val="Heading3"/>
    <w:uiPriority w:val="9"/>
    <w:rsid w:val="005D0FDB"/>
    <w:rPr>
      <w:rFonts w:ascii="Arial" w:eastAsia="Times New Roman" w:hAnsi="Arial" w:cs="Times New Roman"/>
      <w:b/>
      <w:szCs w:val="20"/>
    </w:rPr>
  </w:style>
  <w:style w:type="paragraph" w:customStyle="1" w:styleId="Default">
    <w:name w:val="Default"/>
    <w:rsid w:val="005D0FDB"/>
    <w:pPr>
      <w:autoSpaceDE w:val="0"/>
      <w:autoSpaceDN w:val="0"/>
      <w:adjustRightInd w:val="0"/>
      <w:spacing w:after="0" w:line="240" w:lineRule="auto"/>
    </w:pPr>
    <w:rPr>
      <w:rFonts w:ascii="Microsoft Sans Serif" w:eastAsia="Times New Roman" w:hAnsi="Microsoft Sans Serif" w:cs="Microsoft Sans Serif"/>
      <w:color w:val="000000"/>
      <w:sz w:val="24"/>
      <w:szCs w:val="24"/>
    </w:rPr>
  </w:style>
  <w:style w:type="character" w:styleId="Emphasis">
    <w:name w:val="Emphasis"/>
    <w:basedOn w:val="DefaultParagraphFont"/>
    <w:qFormat/>
    <w:rsid w:val="005D0FDB"/>
    <w:rPr>
      <w:i/>
      <w:iCs/>
    </w:rPr>
  </w:style>
  <w:style w:type="character" w:styleId="Hyperlink">
    <w:name w:val="Hyperlink"/>
    <w:basedOn w:val="DefaultParagraphFont"/>
    <w:uiPriority w:val="99"/>
    <w:unhideWhenUsed/>
    <w:rsid w:val="00664A2A"/>
    <w:rPr>
      <w:color w:val="0563C1" w:themeColor="hyperlink"/>
      <w:u w:val="single"/>
    </w:rPr>
  </w:style>
  <w:style w:type="paragraph" w:styleId="ListParagraph">
    <w:name w:val="List Paragraph"/>
    <w:basedOn w:val="Normal"/>
    <w:uiPriority w:val="34"/>
    <w:qFormat/>
    <w:rsid w:val="0072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8E3AD456E904C826DCE3E57FDD918" ma:contentTypeVersion="13" ma:contentTypeDescription="Create a new document." ma:contentTypeScope="" ma:versionID="ce6190c190669f75aebce3ae64b6c8b4">
  <xsd:schema xmlns:xsd="http://www.w3.org/2001/XMLSchema" xmlns:xs="http://www.w3.org/2001/XMLSchema" xmlns:p="http://schemas.microsoft.com/office/2006/metadata/properties" xmlns:ns3="d6726c33-9453-42aa-82a3-18e98717bb1c" xmlns:ns4="887ae989-b68f-4548-8f50-e2b2858ae3ee" targetNamespace="http://schemas.microsoft.com/office/2006/metadata/properties" ma:root="true" ma:fieldsID="2e1cfc549652cba794ca800a1f903ccd" ns3:_="" ns4:_="">
    <xsd:import namespace="d6726c33-9453-42aa-82a3-18e98717bb1c"/>
    <xsd:import namespace="887ae989-b68f-4548-8f50-e2b2858ae3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6c33-9453-42aa-82a3-18e98717b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7ae989-b68f-4548-8f50-e2b2858ae3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49E87-3B64-484A-AD30-757A8CA9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6c33-9453-42aa-82a3-18e98717bb1c"/>
    <ds:schemaRef ds:uri="887ae989-b68f-4548-8f50-e2b2858ae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0F120-E3CA-44F5-B7F9-A3EB26A0E63A}">
  <ds:schemaRefs>
    <ds:schemaRef ds:uri="http://schemas.microsoft.com/office/2006/documentManagement/types"/>
    <ds:schemaRef ds:uri="http://schemas.microsoft.com/office/2006/metadata/properties"/>
    <ds:schemaRef ds:uri="http://purl.org/dc/elements/1.1/"/>
    <ds:schemaRef ds:uri="d6726c33-9453-42aa-82a3-18e98717bb1c"/>
    <ds:schemaRef ds:uri="887ae989-b68f-4548-8f50-e2b2858ae3ee"/>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53CE1B-FACB-4CD4-867A-39FA0B791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 Viverette</dc:creator>
  <cp:keywords/>
  <dc:description/>
  <cp:lastModifiedBy>Shannon Putnam</cp:lastModifiedBy>
  <cp:revision>2</cp:revision>
  <dcterms:created xsi:type="dcterms:W3CDTF">2019-09-11T14:26:00Z</dcterms:created>
  <dcterms:modified xsi:type="dcterms:W3CDTF">2019-09-11T14:26:00Z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0x010100A0D8E3AD456E904C826DCE3E57FDD918</vt:lpwstr>
  </property>
</Properties>
</file>