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7ADBA2" w14:textId="749390A8" w:rsidR="005E7DCC" w:rsidRDefault="000A7DDC" w:rsidP="00624653">
      <w:pPr>
        <w:ind w:right="-1440" w:hanging="1440"/>
        <w:jc w:val="center"/>
      </w:pPr>
      <w:bookmarkStart w:id="0" w:name="_GoBack"/>
      <w:bookmarkEnd w:id="0"/>
      <w:r>
        <w:rPr>
          <w:noProof/>
        </w:rPr>
        <w:drawing>
          <wp:anchor distT="0" distB="0" distL="114300" distR="114300" simplePos="0" relativeHeight="251663360" behindDoc="0" locked="0" layoutInCell="1" allowOverlap="1" wp14:anchorId="6B350325" wp14:editId="20A8FC64">
            <wp:simplePos x="0" y="0"/>
            <wp:positionH relativeFrom="margin">
              <wp:align>center</wp:align>
            </wp:positionH>
            <wp:positionV relativeFrom="paragraph">
              <wp:posOffset>0</wp:posOffset>
            </wp:positionV>
            <wp:extent cx="3428365" cy="2004695"/>
            <wp:effectExtent l="0" t="0" r="635" b="0"/>
            <wp:wrapSquare wrapText="bothSides"/>
            <wp:docPr id="8" name="Picture 8" descr="Medical conference. doctor showing heart, physician training. lecture,  students classroom seminar. cardiac surgery meeting … in 2020 | Medical  conferences, Medical, Le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dical conference. doctor showing heart, physician training. lecture,  students classroom seminar. cardiac surgery meeting … in 2020 | Medical  conferences, Medical, Lectu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28365" cy="20046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48C100" w14:textId="77777777" w:rsidR="00104D80" w:rsidRDefault="000A7DDC" w:rsidP="00624653">
      <w:pPr>
        <w:ind w:right="-1440" w:hanging="1440"/>
        <w:jc w:val="center"/>
      </w:pPr>
      <w:r w:rsidRPr="00E1778F">
        <w:rPr>
          <w:noProof/>
        </w:rPr>
        <w:drawing>
          <wp:anchor distT="0" distB="0" distL="114300" distR="114300" simplePos="0" relativeHeight="251662336" behindDoc="1" locked="0" layoutInCell="1" allowOverlap="1" wp14:anchorId="7B9DD996" wp14:editId="0B32C09B">
            <wp:simplePos x="0" y="0"/>
            <wp:positionH relativeFrom="column">
              <wp:posOffset>5070364</wp:posOffset>
            </wp:positionH>
            <wp:positionV relativeFrom="paragraph">
              <wp:posOffset>8255</wp:posOffset>
            </wp:positionV>
            <wp:extent cx="1537335" cy="784225"/>
            <wp:effectExtent l="0" t="0" r="5715" b="0"/>
            <wp:wrapTight wrapText="bothSides">
              <wp:wrapPolygon edited="0">
                <wp:start x="0" y="0"/>
                <wp:lineTo x="0" y="20988"/>
                <wp:lineTo x="21413" y="20988"/>
                <wp:lineTo x="21413" y="0"/>
                <wp:lineTo x="0" y="0"/>
              </wp:wrapPolygon>
            </wp:wrapTight>
            <wp:docPr id="218" name="Picture 218" descr="C:\Users\achoover\AppData\Local\Temp\Articulate\Storyline\5vDXWKpzF0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achoover\AppData\Local\Temp\Articulate\Storyline\5vDXWKpzF0Y.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73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20ED19" w14:textId="77777777" w:rsidR="00104D80" w:rsidRDefault="00104D80" w:rsidP="00624653">
      <w:pPr>
        <w:ind w:right="-1440" w:hanging="1440"/>
        <w:jc w:val="center"/>
      </w:pPr>
    </w:p>
    <w:p w14:paraId="4B34B897" w14:textId="77777777" w:rsidR="00104D80" w:rsidRDefault="00104D80" w:rsidP="00624653">
      <w:pPr>
        <w:ind w:right="-1440" w:hanging="1440"/>
        <w:jc w:val="center"/>
      </w:pPr>
    </w:p>
    <w:p w14:paraId="409A50E6" w14:textId="249BE1D0" w:rsidR="00104D80" w:rsidRDefault="00B13AC9" w:rsidP="00624653">
      <w:pPr>
        <w:ind w:right="-1440" w:hanging="1440"/>
        <w:jc w:val="center"/>
      </w:pPr>
      <w:r>
        <w:rPr>
          <w:noProof/>
        </w:rPr>
        <mc:AlternateContent>
          <mc:Choice Requires="wps">
            <w:drawing>
              <wp:anchor distT="0" distB="0" distL="114300" distR="114300" simplePos="0" relativeHeight="251665408" behindDoc="0" locked="0" layoutInCell="1" allowOverlap="1" wp14:anchorId="0EF3225C" wp14:editId="0B4F9079">
                <wp:simplePos x="0" y="0"/>
                <wp:positionH relativeFrom="column">
                  <wp:posOffset>-457200</wp:posOffset>
                </wp:positionH>
                <wp:positionV relativeFrom="paragraph">
                  <wp:posOffset>338455</wp:posOffset>
                </wp:positionV>
                <wp:extent cx="7124700" cy="352425"/>
                <wp:effectExtent l="0" t="0" r="0" b="9525"/>
                <wp:wrapNone/>
                <wp:docPr id="7" name="Text Box 7"/>
                <wp:cNvGraphicFramePr/>
                <a:graphic xmlns:a="http://schemas.openxmlformats.org/drawingml/2006/main">
                  <a:graphicData uri="http://schemas.microsoft.com/office/word/2010/wordprocessingShape">
                    <wps:wsp>
                      <wps:cNvSpPr txBox="1"/>
                      <wps:spPr>
                        <a:xfrm>
                          <a:off x="0" y="0"/>
                          <a:ext cx="7124700" cy="352425"/>
                        </a:xfrm>
                        <a:prstGeom prst="rect">
                          <a:avLst/>
                        </a:prstGeom>
                        <a:solidFill>
                          <a:srgbClr val="008C92"/>
                        </a:solidFill>
                        <a:ln w="6350">
                          <a:noFill/>
                        </a:ln>
                      </wps:spPr>
                      <wps:txbx>
                        <w:txbxContent>
                          <w:p w14:paraId="23DCFCFC" w14:textId="77777777" w:rsidR="00624653" w:rsidRPr="00104D80" w:rsidRDefault="00624653" w:rsidP="00624653">
                            <w:pPr>
                              <w:jc w:val="center"/>
                              <w:rPr>
                                <w:color w:val="FFFFFF" w:themeColor="background1"/>
                                <w:sz w:val="28"/>
                                <w:szCs w:val="28"/>
                              </w:rPr>
                            </w:pPr>
                            <w:r w:rsidRPr="00104D80">
                              <w:rPr>
                                <w:color w:val="FFFFFF" w:themeColor="background1"/>
                                <w:sz w:val="28"/>
                                <w:szCs w:val="28"/>
                              </w:rPr>
                              <w:t xml:space="preserve">Government Fraud Alert for Health Care Professionals: </w:t>
                            </w:r>
                            <w:r w:rsidRPr="000655A0">
                              <w:rPr>
                                <w:color w:val="FFC000"/>
                                <w:sz w:val="28"/>
                                <w:szCs w:val="28"/>
                              </w:rPr>
                              <w:t>SPEAKER PROGRAMS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0EF3225C">
                <v:stroke joinstyle="miter"/>
                <v:path gradientshapeok="t" o:connecttype="rect"/>
              </v:shapetype>
              <v:shape id="Text Box 7" style="position:absolute;left:0;text-align:left;margin-left:-36pt;margin-top:26.65pt;width:561pt;height:27.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6" fillcolor="#008c92"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">
                <v:textbox>
                  <w:txbxContent>
                    <w:p w:rsidRPr="00104D80" w:rsidR="00624653" w:rsidP="00624653" w:rsidRDefault="00624653" w14:paraId="23DCFCFC" w14:textId="77777777">
                      <w:pPr>
                        <w:jc w:val="center"/>
                        <w:rPr>
                          <w:color w:val="FFFFFF" w:themeColor="background1"/>
                          <w:sz w:val="28"/>
                          <w:szCs w:val="28"/>
                        </w:rPr>
                      </w:pPr>
                      <w:r w:rsidRPr="00104D80">
                        <w:rPr>
                          <w:color w:val="FFFFFF" w:themeColor="background1"/>
                          <w:sz w:val="28"/>
                          <w:szCs w:val="28"/>
                        </w:rPr>
                        <w:t xml:space="preserve">Government Fraud Alert for Health Care Professionals: </w:t>
                      </w:r>
                      <w:r w:rsidRPr="000655A0">
                        <w:rPr>
                          <w:color w:val="FFC000"/>
                          <w:sz w:val="28"/>
                          <w:szCs w:val="28"/>
                        </w:rPr>
                        <w:t>SPEAKER PROGRAMS</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39CE3A24" wp14:editId="01894CAF">
                <wp:simplePos x="0" y="0"/>
                <wp:positionH relativeFrom="column">
                  <wp:posOffset>-914400</wp:posOffset>
                </wp:positionH>
                <wp:positionV relativeFrom="paragraph">
                  <wp:posOffset>262531</wp:posOffset>
                </wp:positionV>
                <wp:extent cx="7762875" cy="4857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7762875" cy="485775"/>
                        </a:xfrm>
                        <a:prstGeom prst="rect">
                          <a:avLst/>
                        </a:prstGeom>
                        <a:solidFill>
                          <a:srgbClr val="008C9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6" style="position:absolute;margin-left:-1in;margin-top:20.65pt;width:611.25pt;height:38.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008c92" strokecolor="white [3212]" strokeweight="1pt" w14:anchorId="2EE909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"/>
            </w:pict>
          </mc:Fallback>
        </mc:AlternateContent>
      </w:r>
    </w:p>
    <w:p w14:paraId="7B1E4B70" w14:textId="5F14342C" w:rsidR="00B24638" w:rsidRDefault="00B24638"/>
    <w:p w14:paraId="5440F741" w14:textId="77777777" w:rsidR="00B24638" w:rsidRDefault="00B24638"/>
    <w:p w14:paraId="5B5A6449" w14:textId="77777777" w:rsidR="001B0EF7" w:rsidRDefault="001B0EF7" w:rsidP="000A7DDC">
      <w:pPr>
        <w:tabs>
          <w:tab w:val="left" w:pos="-990"/>
          <w:tab w:val="left" w:pos="-270"/>
        </w:tabs>
        <w:spacing w:after="0"/>
        <w:ind w:left="-990"/>
        <w:rPr>
          <w:rFonts w:asciiTheme="majorHAnsi" w:hAnsiTheme="majorHAnsi" w:cs="Arial"/>
          <w:color w:val="008C92"/>
        </w:rPr>
      </w:pPr>
    </w:p>
    <w:p w14:paraId="0CA15FEF" w14:textId="541F2D75" w:rsidR="000A7DDC" w:rsidRPr="00971A15" w:rsidRDefault="000A7DDC" w:rsidP="00971A15">
      <w:pPr>
        <w:spacing w:before="360" w:after="0" w:line="240" w:lineRule="auto"/>
        <w:ind w:left="-900" w:right="-900"/>
        <w:rPr>
          <w:rFonts w:asciiTheme="majorHAnsi" w:hAnsiTheme="majorHAnsi" w:cs="Arial"/>
          <w:b/>
          <w:bCs/>
          <w:color w:val="008C95"/>
        </w:rPr>
      </w:pPr>
      <w:r w:rsidRPr="00971A15">
        <w:rPr>
          <w:rFonts w:asciiTheme="majorHAnsi" w:hAnsiTheme="majorHAnsi" w:cs="Arial"/>
          <w:b/>
          <w:bCs/>
          <w:color w:val="008C95"/>
        </w:rPr>
        <w:t xml:space="preserve">Paid Speaking </w:t>
      </w:r>
      <w:r w:rsidR="00CE5B87" w:rsidRPr="00971A15">
        <w:rPr>
          <w:rFonts w:asciiTheme="majorHAnsi" w:hAnsiTheme="majorHAnsi" w:cs="Arial"/>
          <w:b/>
          <w:bCs/>
          <w:color w:val="008C95"/>
        </w:rPr>
        <w:t xml:space="preserve">Engagements </w:t>
      </w:r>
      <w:r w:rsidRPr="00971A15">
        <w:rPr>
          <w:rFonts w:asciiTheme="majorHAnsi" w:hAnsiTheme="majorHAnsi" w:cs="Arial"/>
          <w:b/>
          <w:bCs/>
          <w:color w:val="008C95"/>
        </w:rPr>
        <w:t>May Be Risky Business</w:t>
      </w:r>
    </w:p>
    <w:p w14:paraId="10ABEDCB" w14:textId="094E8A5E" w:rsidR="00CE5B87" w:rsidRPr="00971A15" w:rsidRDefault="001F28A2" w:rsidP="00971A15">
      <w:pPr>
        <w:spacing w:after="0" w:line="240" w:lineRule="auto"/>
        <w:ind w:left="-900" w:right="-900"/>
        <w:jc w:val="both"/>
        <w:rPr>
          <w:rFonts w:cs="Arial"/>
          <w:color w:val="000000" w:themeColor="text1"/>
          <w:sz w:val="20"/>
          <w:szCs w:val="20"/>
        </w:rPr>
      </w:pPr>
      <w:r w:rsidRPr="00971A15">
        <w:rPr>
          <w:rFonts w:cs="Arial"/>
          <w:color w:val="000000" w:themeColor="text1"/>
          <w:sz w:val="20"/>
          <w:szCs w:val="20"/>
        </w:rPr>
        <w:t xml:space="preserve">Health care professionals (HCPs) </w:t>
      </w:r>
      <w:r w:rsidR="00CE5B87" w:rsidRPr="00971A15">
        <w:rPr>
          <w:rFonts w:cs="Arial"/>
          <w:color w:val="000000" w:themeColor="text1"/>
          <w:sz w:val="20"/>
          <w:szCs w:val="20"/>
        </w:rPr>
        <w:t>are sometimes asked to speak or present at conferences and other events sponsored by vendor</w:t>
      </w:r>
      <w:r w:rsidRPr="00971A15">
        <w:rPr>
          <w:rFonts w:cs="Arial"/>
          <w:color w:val="000000" w:themeColor="text1"/>
          <w:sz w:val="20"/>
          <w:szCs w:val="20"/>
        </w:rPr>
        <w:t>s</w:t>
      </w:r>
      <w:r w:rsidR="00CE5B87" w:rsidRPr="00971A15">
        <w:rPr>
          <w:rFonts w:cs="Arial"/>
          <w:color w:val="000000" w:themeColor="text1"/>
          <w:sz w:val="20"/>
          <w:szCs w:val="20"/>
        </w:rPr>
        <w:t xml:space="preserve"> </w:t>
      </w:r>
      <w:r w:rsidRPr="00971A15">
        <w:rPr>
          <w:rFonts w:cs="Arial"/>
          <w:color w:val="000000" w:themeColor="text1"/>
          <w:sz w:val="20"/>
          <w:szCs w:val="20"/>
        </w:rPr>
        <w:t xml:space="preserve">who want them to talk </w:t>
      </w:r>
      <w:r w:rsidR="00CE5B87" w:rsidRPr="00971A15">
        <w:rPr>
          <w:rFonts w:cs="Arial"/>
          <w:color w:val="000000" w:themeColor="text1"/>
          <w:sz w:val="20"/>
          <w:szCs w:val="20"/>
        </w:rPr>
        <w:t xml:space="preserve">about </w:t>
      </w:r>
      <w:r w:rsidRPr="00971A15">
        <w:rPr>
          <w:rFonts w:cs="Arial"/>
          <w:color w:val="000000" w:themeColor="text1"/>
          <w:sz w:val="20"/>
          <w:szCs w:val="20"/>
        </w:rPr>
        <w:t xml:space="preserve">their </w:t>
      </w:r>
      <w:r w:rsidR="00CE5B87" w:rsidRPr="00971A15">
        <w:rPr>
          <w:rFonts w:cs="Arial"/>
          <w:color w:val="000000" w:themeColor="text1"/>
          <w:sz w:val="20"/>
          <w:szCs w:val="20"/>
        </w:rPr>
        <w:t>drug</w:t>
      </w:r>
      <w:r w:rsidRPr="00971A15">
        <w:rPr>
          <w:rFonts w:cs="Arial"/>
          <w:color w:val="000000" w:themeColor="text1"/>
          <w:sz w:val="20"/>
          <w:szCs w:val="20"/>
        </w:rPr>
        <w:t xml:space="preserve"> or </w:t>
      </w:r>
      <w:r w:rsidR="00CE5B87" w:rsidRPr="00971A15">
        <w:rPr>
          <w:rFonts w:cs="Arial"/>
          <w:color w:val="000000" w:themeColor="text1"/>
          <w:sz w:val="20"/>
          <w:szCs w:val="20"/>
        </w:rPr>
        <w:t xml:space="preserve">device, or </w:t>
      </w:r>
      <w:r w:rsidRPr="00971A15">
        <w:rPr>
          <w:rFonts w:cs="Arial"/>
          <w:color w:val="000000" w:themeColor="text1"/>
          <w:sz w:val="20"/>
          <w:szCs w:val="20"/>
        </w:rPr>
        <w:t xml:space="preserve">about </w:t>
      </w:r>
      <w:r w:rsidR="00CE5B87" w:rsidRPr="00971A15">
        <w:rPr>
          <w:rFonts w:cs="Arial"/>
          <w:color w:val="000000" w:themeColor="text1"/>
          <w:sz w:val="20"/>
          <w:szCs w:val="20"/>
        </w:rPr>
        <w:t xml:space="preserve">a disease state connected to the vendor.  </w:t>
      </w:r>
      <w:r w:rsidRPr="00971A15">
        <w:rPr>
          <w:rFonts w:cs="Arial"/>
          <w:color w:val="000000" w:themeColor="text1"/>
          <w:sz w:val="20"/>
          <w:szCs w:val="20"/>
        </w:rPr>
        <w:t>HCPs will often be paid</w:t>
      </w:r>
      <w:r w:rsidR="00CE5B87" w:rsidRPr="00971A15">
        <w:rPr>
          <w:rFonts w:cs="Arial"/>
          <w:color w:val="000000" w:themeColor="text1"/>
          <w:sz w:val="20"/>
          <w:szCs w:val="20"/>
        </w:rPr>
        <w:t xml:space="preserve"> to speak at the event, such as with an honorarium or with free meals, lodging, and other perks.  These types of speaker engagements can be very risky because it can appear that the </w:t>
      </w:r>
      <w:r w:rsidRPr="00971A15">
        <w:rPr>
          <w:rFonts w:cs="Arial"/>
          <w:color w:val="000000" w:themeColor="text1"/>
          <w:sz w:val="20"/>
          <w:szCs w:val="20"/>
        </w:rPr>
        <w:t xml:space="preserve">HCP </w:t>
      </w:r>
      <w:r w:rsidR="00CE5B87" w:rsidRPr="00971A15">
        <w:rPr>
          <w:rFonts w:cs="Arial"/>
          <w:color w:val="000000" w:themeColor="text1"/>
          <w:sz w:val="20"/>
          <w:szCs w:val="20"/>
        </w:rPr>
        <w:t xml:space="preserve">is being influenced in what they are saying or worse, that the </w:t>
      </w:r>
      <w:r w:rsidRPr="00971A15">
        <w:rPr>
          <w:rFonts w:cs="Arial"/>
          <w:color w:val="000000" w:themeColor="text1"/>
          <w:sz w:val="20"/>
          <w:szCs w:val="20"/>
        </w:rPr>
        <w:t xml:space="preserve">HCP </w:t>
      </w:r>
      <w:r w:rsidR="00CE5B87" w:rsidRPr="00971A15">
        <w:rPr>
          <w:rFonts w:cs="Arial"/>
          <w:color w:val="000000" w:themeColor="text1"/>
          <w:sz w:val="20"/>
          <w:szCs w:val="20"/>
        </w:rPr>
        <w:t>will be motivated to order the vendor’s product for their patient</w:t>
      </w:r>
      <w:r w:rsidRPr="00971A15">
        <w:rPr>
          <w:rFonts w:cs="Arial"/>
          <w:color w:val="000000" w:themeColor="text1"/>
          <w:sz w:val="20"/>
          <w:szCs w:val="20"/>
        </w:rPr>
        <w:t xml:space="preserve"> for a kickback</w:t>
      </w:r>
      <w:r w:rsidR="00CE5B87" w:rsidRPr="00971A15">
        <w:rPr>
          <w:rFonts w:cs="Arial"/>
          <w:color w:val="000000" w:themeColor="text1"/>
          <w:sz w:val="20"/>
          <w:szCs w:val="20"/>
        </w:rPr>
        <w:t>, even though it may not be the best choice</w:t>
      </w:r>
      <w:r w:rsidRPr="00971A15">
        <w:rPr>
          <w:rFonts w:cs="Arial"/>
          <w:color w:val="000000" w:themeColor="text1"/>
          <w:sz w:val="20"/>
          <w:szCs w:val="20"/>
        </w:rPr>
        <w:t xml:space="preserve"> for the patient</w:t>
      </w:r>
      <w:r w:rsidR="00CE5B87" w:rsidRPr="00971A15">
        <w:rPr>
          <w:rFonts w:cs="Arial"/>
          <w:color w:val="000000" w:themeColor="text1"/>
          <w:sz w:val="20"/>
          <w:szCs w:val="20"/>
        </w:rPr>
        <w:t xml:space="preserve">.     </w:t>
      </w:r>
    </w:p>
    <w:p w14:paraId="03F4A398" w14:textId="2ECE4FE7" w:rsidR="00CE5B87" w:rsidRPr="00971A15" w:rsidRDefault="00CE5B87" w:rsidP="00971A15">
      <w:pPr>
        <w:spacing w:after="0" w:line="240" w:lineRule="auto"/>
        <w:ind w:left="-900" w:right="-900"/>
        <w:jc w:val="both"/>
        <w:rPr>
          <w:rFonts w:cs="Arial"/>
          <w:color w:val="000000" w:themeColor="text1"/>
          <w:sz w:val="20"/>
          <w:szCs w:val="20"/>
        </w:rPr>
      </w:pPr>
    </w:p>
    <w:p w14:paraId="0EB1956D" w14:textId="47D30DF8" w:rsidR="00CE5B87" w:rsidRPr="00971A15" w:rsidRDefault="001F28A2" w:rsidP="00971A15">
      <w:pPr>
        <w:spacing w:after="0" w:line="240" w:lineRule="auto"/>
        <w:ind w:left="-900" w:right="-900"/>
        <w:jc w:val="both"/>
        <w:rPr>
          <w:rFonts w:cs="Arial"/>
          <w:color w:val="000000" w:themeColor="text1"/>
          <w:sz w:val="20"/>
          <w:szCs w:val="20"/>
        </w:rPr>
      </w:pPr>
      <w:r w:rsidRPr="00971A15">
        <w:rPr>
          <w:rFonts w:cs="Arial"/>
          <w:color w:val="000000" w:themeColor="text1"/>
          <w:sz w:val="20"/>
          <w:szCs w:val="20"/>
        </w:rPr>
        <w:t>These programs are enough of a concern that o</w:t>
      </w:r>
      <w:r w:rsidR="00F6120D" w:rsidRPr="00971A15">
        <w:rPr>
          <w:rFonts w:cs="Arial"/>
          <w:color w:val="000000" w:themeColor="text1"/>
          <w:sz w:val="20"/>
          <w:szCs w:val="20"/>
        </w:rPr>
        <w:t xml:space="preserve">n November 16, 2020, the Office of Inspector General </w:t>
      </w:r>
      <w:r w:rsidRPr="00971A15">
        <w:rPr>
          <w:rFonts w:cs="Arial"/>
          <w:color w:val="000000" w:themeColor="text1"/>
          <w:sz w:val="20"/>
          <w:szCs w:val="20"/>
        </w:rPr>
        <w:t xml:space="preserve">(OIG) </w:t>
      </w:r>
      <w:r w:rsidR="00F6120D" w:rsidRPr="00971A15">
        <w:rPr>
          <w:rFonts w:cs="Arial"/>
          <w:color w:val="000000" w:themeColor="text1"/>
          <w:sz w:val="20"/>
          <w:szCs w:val="20"/>
        </w:rPr>
        <w:t xml:space="preserve">took the unusual step of issuing a Special Fraud Alert expressing significant concerns over the fraud and abuse risks associated with speaker programs by pharmaceutical and medical device companies.  This is </w:t>
      </w:r>
      <w:r w:rsidR="00C822DE" w:rsidRPr="00971A15">
        <w:rPr>
          <w:rFonts w:cs="Arial"/>
          <w:color w:val="000000" w:themeColor="text1"/>
          <w:sz w:val="20"/>
          <w:szCs w:val="20"/>
        </w:rPr>
        <w:t xml:space="preserve">remarkable </w:t>
      </w:r>
      <w:r w:rsidR="00F6120D" w:rsidRPr="00971A15">
        <w:rPr>
          <w:rFonts w:cs="Arial"/>
          <w:color w:val="000000" w:themeColor="text1"/>
          <w:sz w:val="20"/>
          <w:szCs w:val="20"/>
        </w:rPr>
        <w:t xml:space="preserve">because it has been over ten years since the OIG felt a risk was severe enough to warrant a Special Fraud Alert.  All </w:t>
      </w:r>
      <w:r w:rsidRPr="00971A15">
        <w:rPr>
          <w:rFonts w:cs="Arial"/>
          <w:color w:val="000000" w:themeColor="text1"/>
          <w:sz w:val="20"/>
          <w:szCs w:val="20"/>
        </w:rPr>
        <w:t xml:space="preserve">HCPs </w:t>
      </w:r>
      <w:r w:rsidR="00F6120D" w:rsidRPr="00971A15">
        <w:rPr>
          <w:rFonts w:cs="Arial"/>
          <w:color w:val="000000" w:themeColor="text1"/>
          <w:sz w:val="20"/>
          <w:szCs w:val="20"/>
        </w:rPr>
        <w:t xml:space="preserve">should pay close attention and </w:t>
      </w:r>
      <w:r w:rsidR="00C822DE" w:rsidRPr="00971A15">
        <w:rPr>
          <w:rFonts w:cs="Arial"/>
          <w:color w:val="000000" w:themeColor="text1"/>
          <w:sz w:val="20"/>
          <w:szCs w:val="20"/>
        </w:rPr>
        <w:t xml:space="preserve">heed </w:t>
      </w:r>
      <w:r w:rsidR="00F6120D" w:rsidRPr="00971A15">
        <w:rPr>
          <w:rFonts w:cs="Arial"/>
          <w:color w:val="000000" w:themeColor="text1"/>
          <w:sz w:val="20"/>
          <w:szCs w:val="20"/>
        </w:rPr>
        <w:t xml:space="preserve">the OIG’s </w:t>
      </w:r>
      <w:r w:rsidR="00C822DE" w:rsidRPr="00971A15">
        <w:rPr>
          <w:rFonts w:cs="Arial"/>
          <w:color w:val="000000" w:themeColor="text1"/>
          <w:sz w:val="20"/>
          <w:szCs w:val="20"/>
        </w:rPr>
        <w:t>warnings</w:t>
      </w:r>
      <w:r w:rsidR="00F6120D" w:rsidRPr="00971A15">
        <w:rPr>
          <w:rFonts w:cs="Arial"/>
          <w:color w:val="000000" w:themeColor="text1"/>
          <w:sz w:val="20"/>
          <w:szCs w:val="20"/>
        </w:rPr>
        <w:t xml:space="preserve">. </w:t>
      </w:r>
    </w:p>
    <w:p w14:paraId="5AA91DE5" w14:textId="77777777" w:rsidR="000A7DDC" w:rsidRDefault="000A7DDC" w:rsidP="00971A15">
      <w:pPr>
        <w:spacing w:line="240" w:lineRule="auto"/>
        <w:ind w:left="-990"/>
      </w:pPr>
    </w:p>
    <w:p w14:paraId="1271AE22" w14:textId="02538F32" w:rsidR="00971A15" w:rsidRDefault="00971A15" w:rsidP="00971A15">
      <w:pPr>
        <w:spacing w:after="240" w:line="240" w:lineRule="auto"/>
        <w:ind w:left="-990"/>
        <w:sectPr w:rsidR="00971A15" w:rsidSect="00624653">
          <w:pgSz w:w="12240" w:h="15840"/>
          <w:pgMar w:top="0" w:right="1440" w:bottom="1440" w:left="1440" w:header="720" w:footer="720" w:gutter="0"/>
          <w:cols w:space="720"/>
          <w:docGrid w:linePitch="360"/>
        </w:sectPr>
      </w:pPr>
    </w:p>
    <w:p w14:paraId="2E31FA56" w14:textId="6980605C" w:rsidR="000A7DDC" w:rsidRPr="00971A15" w:rsidRDefault="000A7DDC" w:rsidP="00971A15">
      <w:pPr>
        <w:spacing w:after="0" w:line="240" w:lineRule="auto"/>
        <w:ind w:left="-180" w:right="-180"/>
        <w:jc w:val="both"/>
        <w:rPr>
          <w:rFonts w:cs="Arial"/>
          <w:b/>
          <w:bCs/>
          <w:color w:val="008C95"/>
        </w:rPr>
      </w:pPr>
      <w:r w:rsidRPr="00971A15">
        <w:rPr>
          <w:rFonts w:cs="Arial"/>
          <w:b/>
          <w:bCs/>
          <w:color w:val="008C95"/>
        </w:rPr>
        <w:t>OIG Skepticism</w:t>
      </w:r>
      <w:r w:rsidR="001F28A2" w:rsidRPr="00971A15">
        <w:rPr>
          <w:rFonts w:cs="Arial"/>
          <w:b/>
          <w:bCs/>
          <w:color w:val="008C95"/>
        </w:rPr>
        <w:t xml:space="preserve"> About Speakers Programs</w:t>
      </w:r>
    </w:p>
    <w:p w14:paraId="4E5D809F" w14:textId="60BB01E2" w:rsidR="000A7DDC" w:rsidRDefault="00F6120D" w:rsidP="00971A15">
      <w:pPr>
        <w:tabs>
          <w:tab w:val="left" w:pos="-990"/>
        </w:tabs>
        <w:spacing w:after="0" w:line="240" w:lineRule="auto"/>
        <w:ind w:left="-180" w:right="-180"/>
        <w:jc w:val="both"/>
        <w:rPr>
          <w:rFonts w:cs="Arial"/>
          <w:color w:val="000000" w:themeColor="text1"/>
          <w:sz w:val="20"/>
          <w:szCs w:val="20"/>
        </w:rPr>
      </w:pPr>
      <w:r>
        <w:rPr>
          <w:rFonts w:cs="Arial"/>
          <w:color w:val="000000" w:themeColor="text1"/>
          <w:sz w:val="20"/>
          <w:szCs w:val="20"/>
        </w:rPr>
        <w:t xml:space="preserve">The </w:t>
      </w:r>
      <w:r w:rsidR="000A7DDC">
        <w:rPr>
          <w:rFonts w:cs="Arial"/>
          <w:color w:val="000000" w:themeColor="text1"/>
          <w:sz w:val="20"/>
          <w:szCs w:val="20"/>
        </w:rPr>
        <w:t xml:space="preserve">OIG </w:t>
      </w:r>
      <w:r>
        <w:rPr>
          <w:rFonts w:cs="Arial"/>
          <w:color w:val="000000" w:themeColor="text1"/>
          <w:sz w:val="20"/>
          <w:szCs w:val="20"/>
        </w:rPr>
        <w:t>is very “</w:t>
      </w:r>
      <w:r w:rsidR="000A7DDC">
        <w:rPr>
          <w:rFonts w:cs="Arial"/>
          <w:color w:val="000000" w:themeColor="text1"/>
          <w:sz w:val="20"/>
          <w:szCs w:val="20"/>
        </w:rPr>
        <w:t>skeptical about the education value</w:t>
      </w:r>
      <w:r>
        <w:rPr>
          <w:rFonts w:cs="Arial"/>
          <w:color w:val="000000" w:themeColor="text1"/>
          <w:sz w:val="20"/>
          <w:szCs w:val="20"/>
        </w:rPr>
        <w:t xml:space="preserve">” of vendor speaking programs. They believe that </w:t>
      </w:r>
      <w:r w:rsidR="00C822DE">
        <w:rPr>
          <w:rFonts w:cs="Arial"/>
          <w:color w:val="000000" w:themeColor="text1"/>
          <w:sz w:val="20"/>
          <w:szCs w:val="20"/>
        </w:rPr>
        <w:t>HCPs</w:t>
      </w:r>
      <w:r>
        <w:rPr>
          <w:rFonts w:cs="Arial"/>
          <w:color w:val="000000" w:themeColor="text1"/>
          <w:sz w:val="20"/>
          <w:szCs w:val="20"/>
        </w:rPr>
        <w:t xml:space="preserve"> can get the information they need about </w:t>
      </w:r>
      <w:r w:rsidR="000A7DDC">
        <w:rPr>
          <w:rFonts w:cs="Arial"/>
          <w:color w:val="000000" w:themeColor="text1"/>
          <w:sz w:val="20"/>
          <w:szCs w:val="20"/>
        </w:rPr>
        <w:t xml:space="preserve">drug and device products and disease states </w:t>
      </w:r>
      <w:r>
        <w:rPr>
          <w:rFonts w:cs="Arial"/>
          <w:color w:val="000000" w:themeColor="text1"/>
          <w:sz w:val="20"/>
          <w:szCs w:val="20"/>
        </w:rPr>
        <w:t xml:space="preserve">through other avenues that </w:t>
      </w:r>
      <w:r w:rsidR="000A7DDC">
        <w:rPr>
          <w:rFonts w:cs="Arial"/>
          <w:color w:val="000000" w:themeColor="text1"/>
          <w:sz w:val="20"/>
          <w:szCs w:val="20"/>
        </w:rPr>
        <w:t xml:space="preserve">do not involve </w:t>
      </w:r>
      <w:r>
        <w:rPr>
          <w:rFonts w:cs="Arial"/>
          <w:color w:val="000000" w:themeColor="text1"/>
          <w:sz w:val="20"/>
          <w:szCs w:val="20"/>
        </w:rPr>
        <w:t>being paid</w:t>
      </w:r>
      <w:r w:rsidR="000A7DDC">
        <w:rPr>
          <w:rFonts w:cs="Arial"/>
          <w:color w:val="000000" w:themeColor="text1"/>
          <w:sz w:val="20"/>
          <w:szCs w:val="20"/>
        </w:rPr>
        <w:t xml:space="preserve">. </w:t>
      </w:r>
      <w:r>
        <w:rPr>
          <w:rFonts w:cs="Arial"/>
          <w:color w:val="000000" w:themeColor="text1"/>
          <w:sz w:val="20"/>
          <w:szCs w:val="20"/>
        </w:rPr>
        <w:t xml:space="preserve"> For example, the </w:t>
      </w:r>
      <w:r w:rsidR="000A7DDC">
        <w:rPr>
          <w:rFonts w:cs="Arial"/>
          <w:color w:val="000000" w:themeColor="text1"/>
          <w:sz w:val="20"/>
          <w:szCs w:val="20"/>
        </w:rPr>
        <w:t xml:space="preserve">information </w:t>
      </w:r>
      <w:r>
        <w:rPr>
          <w:rFonts w:cs="Arial"/>
          <w:color w:val="000000" w:themeColor="text1"/>
          <w:sz w:val="20"/>
          <w:szCs w:val="20"/>
        </w:rPr>
        <w:t xml:space="preserve">found in a </w:t>
      </w:r>
      <w:r w:rsidR="000A7DDC">
        <w:rPr>
          <w:rFonts w:cs="Arial"/>
          <w:color w:val="000000" w:themeColor="text1"/>
          <w:sz w:val="20"/>
          <w:szCs w:val="20"/>
        </w:rPr>
        <w:t xml:space="preserve">speaker program </w:t>
      </w:r>
      <w:r>
        <w:rPr>
          <w:rFonts w:cs="Arial"/>
          <w:color w:val="000000" w:themeColor="text1"/>
          <w:sz w:val="20"/>
          <w:szCs w:val="20"/>
        </w:rPr>
        <w:t xml:space="preserve">is also available </w:t>
      </w:r>
      <w:r w:rsidR="000A7DDC">
        <w:rPr>
          <w:rFonts w:cs="Arial"/>
          <w:color w:val="000000" w:themeColor="text1"/>
          <w:sz w:val="20"/>
          <w:szCs w:val="20"/>
        </w:rPr>
        <w:t xml:space="preserve">online, </w:t>
      </w:r>
      <w:r>
        <w:rPr>
          <w:rFonts w:cs="Arial"/>
          <w:color w:val="000000" w:themeColor="text1"/>
          <w:sz w:val="20"/>
          <w:szCs w:val="20"/>
        </w:rPr>
        <w:t xml:space="preserve">in the </w:t>
      </w:r>
      <w:r w:rsidR="000A7DDC">
        <w:rPr>
          <w:rFonts w:cs="Arial"/>
          <w:color w:val="000000" w:themeColor="text1"/>
          <w:sz w:val="20"/>
          <w:szCs w:val="20"/>
        </w:rPr>
        <w:t xml:space="preserve">product’s package insert, </w:t>
      </w:r>
      <w:r>
        <w:rPr>
          <w:rFonts w:cs="Arial"/>
          <w:color w:val="000000" w:themeColor="text1"/>
          <w:sz w:val="20"/>
          <w:szCs w:val="20"/>
        </w:rPr>
        <w:t xml:space="preserve">at other  independent </w:t>
      </w:r>
      <w:r w:rsidR="000A7DDC">
        <w:rPr>
          <w:rFonts w:cs="Arial"/>
          <w:color w:val="000000" w:themeColor="text1"/>
          <w:sz w:val="20"/>
          <w:szCs w:val="20"/>
        </w:rPr>
        <w:t xml:space="preserve">conferences, </w:t>
      </w:r>
      <w:r w:rsidR="00C822DE">
        <w:rPr>
          <w:rFonts w:cs="Arial"/>
          <w:color w:val="000000" w:themeColor="text1"/>
          <w:sz w:val="20"/>
          <w:szCs w:val="20"/>
        </w:rPr>
        <w:t xml:space="preserve">or </w:t>
      </w:r>
      <w:r>
        <w:rPr>
          <w:rFonts w:cs="Arial"/>
          <w:color w:val="000000" w:themeColor="text1"/>
          <w:sz w:val="20"/>
          <w:szCs w:val="20"/>
        </w:rPr>
        <w:t xml:space="preserve">in </w:t>
      </w:r>
      <w:r w:rsidR="000A7DDC">
        <w:rPr>
          <w:rFonts w:cs="Arial"/>
          <w:color w:val="000000" w:themeColor="text1"/>
          <w:sz w:val="20"/>
          <w:szCs w:val="20"/>
        </w:rPr>
        <w:t>medical journals</w:t>
      </w:r>
      <w:r>
        <w:rPr>
          <w:rFonts w:cs="Arial"/>
          <w:color w:val="000000" w:themeColor="text1"/>
          <w:sz w:val="20"/>
          <w:szCs w:val="20"/>
        </w:rPr>
        <w:t xml:space="preserve">. </w:t>
      </w:r>
      <w:r w:rsidR="000A7DDC">
        <w:rPr>
          <w:rFonts w:cs="Arial"/>
          <w:color w:val="000000" w:themeColor="text1"/>
          <w:sz w:val="20"/>
          <w:szCs w:val="20"/>
        </w:rPr>
        <w:t xml:space="preserve"> According to OIG, </w:t>
      </w:r>
      <w:r>
        <w:rPr>
          <w:rFonts w:cs="Arial"/>
          <w:color w:val="000000" w:themeColor="text1"/>
          <w:sz w:val="20"/>
          <w:szCs w:val="20"/>
        </w:rPr>
        <w:t>the fact that providers can find substantially the same information for free “</w:t>
      </w:r>
      <w:r w:rsidR="000A7DDC">
        <w:rPr>
          <w:rFonts w:cs="Arial"/>
          <w:color w:val="000000" w:themeColor="text1"/>
          <w:sz w:val="20"/>
          <w:szCs w:val="20"/>
        </w:rPr>
        <w:t>further suggests that at least one purpose of remuneration associated with speaker programs is often to induce or reward referrals.”</w:t>
      </w:r>
    </w:p>
    <w:p w14:paraId="741C2342" w14:textId="77777777" w:rsidR="000A7DDC" w:rsidRDefault="000A7DDC" w:rsidP="00971A15">
      <w:pPr>
        <w:tabs>
          <w:tab w:val="left" w:pos="-990"/>
        </w:tabs>
        <w:spacing w:after="240" w:line="240" w:lineRule="auto"/>
        <w:ind w:left="-180" w:right="-180"/>
        <w:jc w:val="both"/>
        <w:rPr>
          <w:rFonts w:cs="Arial"/>
          <w:color w:val="000000" w:themeColor="text1"/>
          <w:sz w:val="20"/>
          <w:szCs w:val="20"/>
        </w:rPr>
      </w:pPr>
    </w:p>
    <w:p w14:paraId="76819076" w14:textId="77777777" w:rsidR="000A7DDC" w:rsidRPr="00971A15" w:rsidRDefault="000A7DDC" w:rsidP="00971A15">
      <w:pPr>
        <w:spacing w:after="0" w:line="240" w:lineRule="auto"/>
        <w:ind w:left="-180" w:right="-180"/>
        <w:jc w:val="both"/>
        <w:rPr>
          <w:rFonts w:cs="Arial"/>
          <w:b/>
          <w:bCs/>
          <w:color w:val="008C95"/>
        </w:rPr>
      </w:pPr>
      <w:r w:rsidRPr="00971A15">
        <w:rPr>
          <w:rFonts w:cs="Arial"/>
          <w:b/>
          <w:bCs/>
          <w:color w:val="008C95"/>
        </w:rPr>
        <w:t>Suspect Characteristics</w:t>
      </w:r>
    </w:p>
    <w:p w14:paraId="638FF7E0" w14:textId="5BB9AF75" w:rsidR="000A7DDC" w:rsidRDefault="00C822DE" w:rsidP="00971A15">
      <w:pPr>
        <w:tabs>
          <w:tab w:val="left" w:pos="-990"/>
        </w:tabs>
        <w:spacing w:after="60" w:line="240" w:lineRule="auto"/>
        <w:ind w:left="-180" w:right="-180"/>
        <w:jc w:val="both"/>
        <w:rPr>
          <w:rFonts w:cs="Arial"/>
          <w:color w:val="000000" w:themeColor="text1"/>
          <w:sz w:val="20"/>
          <w:szCs w:val="20"/>
        </w:rPr>
      </w:pPr>
      <w:r>
        <w:rPr>
          <w:rFonts w:cs="Arial"/>
          <w:color w:val="000000" w:themeColor="text1"/>
          <w:sz w:val="20"/>
          <w:szCs w:val="20"/>
        </w:rPr>
        <w:t xml:space="preserve">The </w:t>
      </w:r>
      <w:r w:rsidR="000A7DDC">
        <w:rPr>
          <w:rFonts w:cs="Arial"/>
          <w:color w:val="000000" w:themeColor="text1"/>
          <w:sz w:val="20"/>
          <w:szCs w:val="20"/>
        </w:rPr>
        <w:t xml:space="preserve">OIG provides </w:t>
      </w:r>
      <w:r w:rsidR="00F6120D">
        <w:rPr>
          <w:rFonts w:cs="Arial"/>
          <w:color w:val="000000" w:themeColor="text1"/>
          <w:sz w:val="20"/>
          <w:szCs w:val="20"/>
        </w:rPr>
        <w:t xml:space="preserve">examples </w:t>
      </w:r>
      <w:r w:rsidR="000A7DDC">
        <w:rPr>
          <w:rFonts w:cs="Arial"/>
          <w:color w:val="000000" w:themeColor="text1"/>
          <w:sz w:val="20"/>
          <w:szCs w:val="20"/>
        </w:rPr>
        <w:t>of “suspect characteristics” that</w:t>
      </w:r>
      <w:r>
        <w:rPr>
          <w:rFonts w:cs="Arial"/>
          <w:color w:val="000000" w:themeColor="text1"/>
          <w:sz w:val="20"/>
          <w:szCs w:val="20"/>
        </w:rPr>
        <w:t>,</w:t>
      </w:r>
      <w:r w:rsidR="000A7DDC">
        <w:rPr>
          <w:rFonts w:cs="Arial"/>
          <w:color w:val="000000" w:themeColor="text1"/>
          <w:sz w:val="20"/>
          <w:szCs w:val="20"/>
        </w:rPr>
        <w:t xml:space="preserve"> taken </w:t>
      </w:r>
      <w:r w:rsidR="00F6120D">
        <w:rPr>
          <w:rFonts w:cs="Arial"/>
          <w:color w:val="000000" w:themeColor="text1"/>
          <w:sz w:val="20"/>
          <w:szCs w:val="20"/>
        </w:rPr>
        <w:t xml:space="preserve">individually or collectively, </w:t>
      </w:r>
      <w:r w:rsidR="000A7DDC">
        <w:rPr>
          <w:rFonts w:cs="Arial"/>
          <w:color w:val="000000" w:themeColor="text1"/>
          <w:sz w:val="20"/>
          <w:szCs w:val="20"/>
        </w:rPr>
        <w:t xml:space="preserve">could potentially indicate a speaker program arrangement that could violate the Anti-Kickback Statute. </w:t>
      </w:r>
      <w:r>
        <w:rPr>
          <w:rFonts w:cs="Arial"/>
          <w:color w:val="000000" w:themeColor="text1"/>
          <w:sz w:val="20"/>
          <w:szCs w:val="20"/>
        </w:rPr>
        <w:t>Red flags include</w:t>
      </w:r>
      <w:r w:rsidR="000A7DDC">
        <w:rPr>
          <w:rFonts w:cs="Arial"/>
          <w:color w:val="000000" w:themeColor="text1"/>
          <w:sz w:val="20"/>
          <w:szCs w:val="20"/>
        </w:rPr>
        <w:t>:</w:t>
      </w:r>
    </w:p>
    <w:p w14:paraId="252533B4" w14:textId="77777777" w:rsidR="000A7DDC" w:rsidRDefault="000A7DDC" w:rsidP="00971A15">
      <w:pPr>
        <w:pStyle w:val="ListParagraph"/>
        <w:numPr>
          <w:ilvl w:val="0"/>
          <w:numId w:val="1"/>
        </w:numPr>
        <w:spacing w:after="120" w:line="240" w:lineRule="auto"/>
        <w:ind w:left="87" w:right="-187" w:hanging="274"/>
        <w:contextualSpacing w:val="0"/>
        <w:jc w:val="both"/>
        <w:rPr>
          <w:rFonts w:cs="Arial"/>
          <w:color w:val="000000" w:themeColor="text1"/>
          <w:sz w:val="20"/>
          <w:szCs w:val="20"/>
        </w:rPr>
      </w:pPr>
      <w:r w:rsidRPr="00BD0DEC">
        <w:rPr>
          <w:rFonts w:cs="Arial"/>
          <w:b/>
          <w:color w:val="000000" w:themeColor="text1"/>
          <w:sz w:val="20"/>
          <w:szCs w:val="20"/>
        </w:rPr>
        <w:t>No Substantive Content.</w:t>
      </w:r>
      <w:r>
        <w:rPr>
          <w:rFonts w:cs="Arial"/>
          <w:color w:val="000000" w:themeColor="text1"/>
          <w:sz w:val="20"/>
          <w:szCs w:val="20"/>
        </w:rPr>
        <w:t xml:space="preserve"> There is little or no information actually presented at the program.</w:t>
      </w:r>
    </w:p>
    <w:p w14:paraId="1F3D4660" w14:textId="54E3FE9E" w:rsidR="000A7DDC" w:rsidRDefault="00C822DE" w:rsidP="00971A15">
      <w:pPr>
        <w:pStyle w:val="ListParagraph"/>
        <w:numPr>
          <w:ilvl w:val="0"/>
          <w:numId w:val="1"/>
        </w:numPr>
        <w:spacing w:after="120" w:line="240" w:lineRule="auto"/>
        <w:ind w:left="87" w:right="-187" w:hanging="274"/>
        <w:contextualSpacing w:val="0"/>
        <w:jc w:val="both"/>
        <w:rPr>
          <w:rFonts w:cs="Arial"/>
          <w:color w:val="000000" w:themeColor="text1"/>
          <w:sz w:val="20"/>
          <w:szCs w:val="20"/>
        </w:rPr>
      </w:pPr>
      <w:r>
        <w:rPr>
          <w:rFonts w:cs="Arial"/>
          <w:b/>
          <w:bCs/>
          <w:color w:val="000000" w:themeColor="text1"/>
          <w:sz w:val="20"/>
          <w:szCs w:val="20"/>
        </w:rPr>
        <w:t xml:space="preserve">Multiple </w:t>
      </w:r>
      <w:r w:rsidR="000A7DDC" w:rsidRPr="00C822DE">
        <w:rPr>
          <w:rFonts w:cs="Arial"/>
          <w:b/>
          <w:bCs/>
          <w:color w:val="000000" w:themeColor="text1"/>
          <w:sz w:val="20"/>
          <w:szCs w:val="20"/>
        </w:rPr>
        <w:t>Programs</w:t>
      </w:r>
      <w:r>
        <w:rPr>
          <w:rFonts w:cs="Arial"/>
          <w:b/>
          <w:bCs/>
          <w:color w:val="000000" w:themeColor="text1"/>
          <w:sz w:val="20"/>
          <w:szCs w:val="20"/>
        </w:rPr>
        <w:t>, Same Topic</w:t>
      </w:r>
      <w:r w:rsidR="000A7DDC" w:rsidRPr="00C822DE">
        <w:rPr>
          <w:rFonts w:cs="Arial"/>
          <w:b/>
          <w:bCs/>
          <w:color w:val="000000" w:themeColor="text1"/>
          <w:sz w:val="20"/>
          <w:szCs w:val="20"/>
        </w:rPr>
        <w:t>.</w:t>
      </w:r>
      <w:r w:rsidR="000A7DDC">
        <w:rPr>
          <w:rFonts w:cs="Arial"/>
          <w:color w:val="000000" w:themeColor="text1"/>
          <w:sz w:val="20"/>
          <w:szCs w:val="20"/>
        </w:rPr>
        <w:t xml:space="preserve"> A </w:t>
      </w:r>
      <w:r w:rsidR="00B13AC9">
        <w:rPr>
          <w:rFonts w:cs="Arial"/>
          <w:color w:val="000000" w:themeColor="text1"/>
          <w:sz w:val="20"/>
          <w:szCs w:val="20"/>
        </w:rPr>
        <w:t>vendor</w:t>
      </w:r>
      <w:r w:rsidR="000A7DDC">
        <w:rPr>
          <w:rFonts w:cs="Arial"/>
          <w:color w:val="000000" w:themeColor="text1"/>
          <w:sz w:val="20"/>
          <w:szCs w:val="20"/>
        </w:rPr>
        <w:t xml:space="preserve"> sponsors a large number of programs on the same or similar topic or product, </w:t>
      </w:r>
      <w:r>
        <w:rPr>
          <w:rFonts w:cs="Arial"/>
          <w:color w:val="000000" w:themeColor="text1"/>
          <w:sz w:val="20"/>
          <w:szCs w:val="20"/>
        </w:rPr>
        <w:t xml:space="preserve">even </w:t>
      </w:r>
      <w:r w:rsidR="000A7DDC">
        <w:rPr>
          <w:rFonts w:cs="Arial"/>
          <w:color w:val="000000" w:themeColor="text1"/>
          <w:sz w:val="20"/>
          <w:szCs w:val="20"/>
        </w:rPr>
        <w:t>if there have been no recent substantive changes in relevant information.</w:t>
      </w:r>
    </w:p>
    <w:p w14:paraId="0CC19D61" w14:textId="4E854B3E" w:rsidR="000A7DDC" w:rsidRDefault="000A7DDC" w:rsidP="00971A15">
      <w:pPr>
        <w:pStyle w:val="ListParagraph"/>
        <w:numPr>
          <w:ilvl w:val="0"/>
          <w:numId w:val="1"/>
        </w:numPr>
        <w:spacing w:after="0" w:line="240" w:lineRule="auto"/>
        <w:ind w:left="90" w:right="-180" w:hanging="270"/>
        <w:jc w:val="both"/>
        <w:rPr>
          <w:rFonts w:cs="Arial"/>
          <w:color w:val="000000" w:themeColor="text1"/>
          <w:sz w:val="20"/>
          <w:szCs w:val="20"/>
        </w:rPr>
      </w:pPr>
      <w:r w:rsidRPr="00BD0DEC">
        <w:rPr>
          <w:rFonts w:cs="Arial"/>
          <w:b/>
          <w:color w:val="000000" w:themeColor="text1"/>
          <w:sz w:val="20"/>
          <w:szCs w:val="20"/>
        </w:rPr>
        <w:t>Program Does Not Follow New Product or Indication.</w:t>
      </w:r>
      <w:r>
        <w:rPr>
          <w:rFonts w:cs="Arial"/>
          <w:color w:val="000000" w:themeColor="text1"/>
          <w:sz w:val="20"/>
          <w:szCs w:val="20"/>
        </w:rPr>
        <w:t xml:space="preserve"> There has been a “significant period of time” with no </w:t>
      </w:r>
      <w:r w:rsidRPr="00C27B8D">
        <w:rPr>
          <w:rFonts w:cs="Arial"/>
          <w:color w:val="000000" w:themeColor="text1"/>
          <w:sz w:val="20"/>
          <w:szCs w:val="20"/>
        </w:rPr>
        <w:t>new medical or scientific information published about the product</w:t>
      </w:r>
      <w:r>
        <w:rPr>
          <w:rFonts w:cs="Arial"/>
          <w:color w:val="000000" w:themeColor="text1"/>
          <w:sz w:val="20"/>
          <w:szCs w:val="20"/>
        </w:rPr>
        <w:t>, nor new-FDA approval of the product to discuss.</w:t>
      </w:r>
    </w:p>
    <w:p w14:paraId="7ABF572B" w14:textId="3FA3E65A" w:rsidR="000A7DDC" w:rsidRDefault="000A7DDC" w:rsidP="00971A15">
      <w:pPr>
        <w:pStyle w:val="ListParagraph"/>
        <w:numPr>
          <w:ilvl w:val="0"/>
          <w:numId w:val="1"/>
        </w:numPr>
        <w:tabs>
          <w:tab w:val="left" w:pos="180"/>
        </w:tabs>
        <w:spacing w:after="120" w:line="240" w:lineRule="auto"/>
        <w:ind w:left="188" w:right="-187" w:hanging="274"/>
        <w:contextualSpacing w:val="0"/>
        <w:jc w:val="both"/>
        <w:rPr>
          <w:rFonts w:cs="Arial"/>
          <w:color w:val="000000" w:themeColor="text1"/>
          <w:sz w:val="20"/>
          <w:szCs w:val="20"/>
        </w:rPr>
      </w:pPr>
      <w:r w:rsidRPr="00BD0DEC">
        <w:rPr>
          <w:rFonts w:cs="Arial"/>
          <w:b/>
          <w:color w:val="000000" w:themeColor="text1"/>
          <w:sz w:val="20"/>
          <w:szCs w:val="20"/>
        </w:rPr>
        <w:t>Repeat Attendance.</w:t>
      </w:r>
      <w:r>
        <w:rPr>
          <w:rFonts w:cs="Arial"/>
          <w:color w:val="000000" w:themeColor="text1"/>
          <w:sz w:val="20"/>
          <w:szCs w:val="20"/>
        </w:rPr>
        <w:t xml:space="preserve"> Attendees have attended other programs on the same or substantially the same topics more than once (as a repeat attendee or as an attendee after serving as a speaker for the same topic)</w:t>
      </w:r>
      <w:r w:rsidR="00C822DE">
        <w:rPr>
          <w:rFonts w:cs="Arial"/>
          <w:color w:val="000000" w:themeColor="text1"/>
          <w:sz w:val="20"/>
          <w:szCs w:val="20"/>
        </w:rPr>
        <w:t>.</w:t>
      </w:r>
    </w:p>
    <w:p w14:paraId="19801106" w14:textId="2EB7E217" w:rsidR="000A7DDC" w:rsidRDefault="000A7DDC" w:rsidP="00971A15">
      <w:pPr>
        <w:pStyle w:val="ListParagraph"/>
        <w:numPr>
          <w:ilvl w:val="0"/>
          <w:numId w:val="1"/>
        </w:numPr>
        <w:tabs>
          <w:tab w:val="left" w:pos="-90"/>
          <w:tab w:val="left" w:pos="180"/>
        </w:tabs>
        <w:spacing w:after="120" w:line="240" w:lineRule="auto"/>
        <w:ind w:left="188" w:right="-187" w:hanging="274"/>
        <w:contextualSpacing w:val="0"/>
        <w:jc w:val="both"/>
        <w:rPr>
          <w:rFonts w:cs="Arial"/>
          <w:color w:val="000000" w:themeColor="text1"/>
          <w:sz w:val="20"/>
          <w:szCs w:val="20"/>
        </w:rPr>
      </w:pPr>
      <w:r w:rsidRPr="00BD0DEC">
        <w:rPr>
          <w:rFonts w:cs="Arial"/>
          <w:b/>
          <w:color w:val="000000" w:themeColor="text1"/>
          <w:sz w:val="20"/>
          <w:szCs w:val="20"/>
        </w:rPr>
        <w:t>Sales Involvement.</w:t>
      </w:r>
      <w:r>
        <w:rPr>
          <w:rFonts w:cs="Arial"/>
          <w:color w:val="000000" w:themeColor="text1"/>
          <w:sz w:val="20"/>
          <w:szCs w:val="20"/>
        </w:rPr>
        <w:t xml:space="preserve"> Sales representatives or marketing personnel are involved in selectin</w:t>
      </w:r>
      <w:r w:rsidR="00C822DE">
        <w:rPr>
          <w:rFonts w:cs="Arial"/>
          <w:color w:val="000000" w:themeColor="text1"/>
          <w:sz w:val="20"/>
          <w:szCs w:val="20"/>
        </w:rPr>
        <w:t>g</w:t>
      </w:r>
      <w:r>
        <w:rPr>
          <w:rFonts w:cs="Arial"/>
          <w:color w:val="000000" w:themeColor="text1"/>
          <w:sz w:val="20"/>
          <w:szCs w:val="20"/>
        </w:rPr>
        <w:t xml:space="preserve"> </w:t>
      </w:r>
      <w:r w:rsidR="00C822DE">
        <w:rPr>
          <w:rFonts w:cs="Arial"/>
          <w:color w:val="000000" w:themeColor="text1"/>
          <w:sz w:val="20"/>
          <w:szCs w:val="20"/>
        </w:rPr>
        <w:t xml:space="preserve">the </w:t>
      </w:r>
      <w:r>
        <w:rPr>
          <w:rFonts w:cs="Arial"/>
          <w:color w:val="000000" w:themeColor="text1"/>
          <w:sz w:val="20"/>
          <w:szCs w:val="20"/>
        </w:rPr>
        <w:t xml:space="preserve">speakers or the </w:t>
      </w:r>
      <w:r w:rsidR="00B13AC9">
        <w:rPr>
          <w:rFonts w:cs="Arial"/>
          <w:color w:val="000000" w:themeColor="text1"/>
          <w:sz w:val="20"/>
          <w:szCs w:val="20"/>
        </w:rPr>
        <w:t xml:space="preserve">vendor </w:t>
      </w:r>
      <w:r>
        <w:rPr>
          <w:rFonts w:cs="Arial"/>
          <w:color w:val="000000" w:themeColor="text1"/>
          <w:sz w:val="20"/>
          <w:szCs w:val="20"/>
        </w:rPr>
        <w:t xml:space="preserve"> selects HCP speakers or attendees based on past or potential revenue generated by orders of the </w:t>
      </w:r>
      <w:r w:rsidR="00B13AC9">
        <w:rPr>
          <w:rFonts w:cs="Arial"/>
          <w:color w:val="000000" w:themeColor="text1"/>
          <w:sz w:val="20"/>
          <w:szCs w:val="20"/>
        </w:rPr>
        <w:t xml:space="preserve">vendor’s </w:t>
      </w:r>
      <w:r>
        <w:rPr>
          <w:rFonts w:cs="Arial"/>
          <w:color w:val="000000" w:themeColor="text1"/>
          <w:sz w:val="20"/>
          <w:szCs w:val="20"/>
        </w:rPr>
        <w:t>products (e.g., a return on investment analysis).</w:t>
      </w:r>
    </w:p>
    <w:p w14:paraId="6119C528" w14:textId="47655E01" w:rsidR="000A7DDC" w:rsidRDefault="000A7DDC" w:rsidP="00971A15">
      <w:pPr>
        <w:pStyle w:val="ListParagraph"/>
        <w:numPr>
          <w:ilvl w:val="0"/>
          <w:numId w:val="1"/>
        </w:numPr>
        <w:tabs>
          <w:tab w:val="left" w:pos="-90"/>
          <w:tab w:val="left" w:pos="180"/>
        </w:tabs>
        <w:spacing w:after="0" w:line="240" w:lineRule="auto"/>
        <w:ind w:left="180" w:right="-180" w:hanging="270"/>
        <w:jc w:val="both"/>
        <w:rPr>
          <w:rFonts w:cs="Arial"/>
          <w:color w:val="000000" w:themeColor="text1"/>
          <w:sz w:val="20"/>
          <w:szCs w:val="20"/>
        </w:rPr>
      </w:pPr>
      <w:r w:rsidRPr="00BD0DEC">
        <w:rPr>
          <w:rFonts w:cs="Arial"/>
          <w:b/>
          <w:color w:val="000000" w:themeColor="text1"/>
          <w:sz w:val="20"/>
          <w:szCs w:val="20"/>
        </w:rPr>
        <w:t>Payment Exceeds FMV.</w:t>
      </w:r>
      <w:r w:rsidR="00B31E9C">
        <w:rPr>
          <w:rFonts w:cs="Arial"/>
          <w:b/>
          <w:color w:val="000000" w:themeColor="text1"/>
          <w:sz w:val="20"/>
          <w:szCs w:val="20"/>
        </w:rPr>
        <w:t xml:space="preserve"> </w:t>
      </w:r>
      <w:r>
        <w:rPr>
          <w:rFonts w:cs="Arial"/>
          <w:color w:val="000000" w:themeColor="text1"/>
          <w:sz w:val="20"/>
          <w:szCs w:val="20"/>
        </w:rPr>
        <w:t xml:space="preserve"> Payment to HCP speakers exceeds </w:t>
      </w:r>
      <w:r w:rsidR="00B13AC9">
        <w:rPr>
          <w:rFonts w:cs="Arial"/>
          <w:color w:val="000000" w:themeColor="text1"/>
          <w:sz w:val="20"/>
          <w:szCs w:val="20"/>
        </w:rPr>
        <w:t xml:space="preserve">the </w:t>
      </w:r>
      <w:r>
        <w:rPr>
          <w:rFonts w:cs="Arial"/>
          <w:color w:val="000000" w:themeColor="text1"/>
          <w:sz w:val="20"/>
          <w:szCs w:val="20"/>
        </w:rPr>
        <w:t>fair market value for the speaking service</w:t>
      </w:r>
      <w:r w:rsidR="00B13AC9">
        <w:rPr>
          <w:rFonts w:cs="Arial"/>
          <w:color w:val="000000" w:themeColor="text1"/>
          <w:sz w:val="20"/>
          <w:szCs w:val="20"/>
        </w:rPr>
        <w:t>,</w:t>
      </w:r>
      <w:r>
        <w:rPr>
          <w:rFonts w:cs="Arial"/>
          <w:color w:val="000000" w:themeColor="text1"/>
          <w:sz w:val="20"/>
          <w:szCs w:val="20"/>
        </w:rPr>
        <w:t xml:space="preserve"> or the compensation considers the volume or value of business generated by the HCPs for the </w:t>
      </w:r>
      <w:r w:rsidR="00B13AC9">
        <w:rPr>
          <w:rFonts w:cs="Arial"/>
          <w:color w:val="000000" w:themeColor="text1"/>
          <w:sz w:val="20"/>
          <w:szCs w:val="20"/>
        </w:rPr>
        <w:t>vendor</w:t>
      </w:r>
      <w:r>
        <w:rPr>
          <w:rFonts w:cs="Arial"/>
          <w:color w:val="000000" w:themeColor="text1"/>
          <w:sz w:val="20"/>
          <w:szCs w:val="20"/>
        </w:rPr>
        <w:t xml:space="preserve">. </w:t>
      </w:r>
    </w:p>
    <w:p w14:paraId="396318D4" w14:textId="0506405B" w:rsidR="001B0EF7" w:rsidRDefault="001B0EF7" w:rsidP="00971A15">
      <w:pPr>
        <w:tabs>
          <w:tab w:val="left" w:pos="0"/>
          <w:tab w:val="left" w:pos="180"/>
        </w:tabs>
        <w:spacing w:after="0" w:line="240" w:lineRule="auto"/>
        <w:ind w:left="-90" w:right="-180"/>
        <w:jc w:val="both"/>
        <w:rPr>
          <w:rFonts w:cs="Arial"/>
          <w:color w:val="000000" w:themeColor="text1"/>
          <w:sz w:val="20"/>
          <w:szCs w:val="20"/>
        </w:rPr>
      </w:pPr>
    </w:p>
    <w:p w14:paraId="29BC427A" w14:textId="72C12F61" w:rsidR="000A7DDC" w:rsidRDefault="00971A15" w:rsidP="00971A15">
      <w:pPr>
        <w:tabs>
          <w:tab w:val="left" w:pos="-360"/>
          <w:tab w:val="left" w:pos="180"/>
        </w:tabs>
        <w:spacing w:after="0" w:line="240" w:lineRule="auto"/>
        <w:ind w:left="-90" w:right="-180"/>
        <w:jc w:val="both"/>
        <w:rPr>
          <w:rFonts w:cs="Arial"/>
          <w:color w:val="000000" w:themeColor="text1"/>
          <w:sz w:val="20"/>
          <w:szCs w:val="20"/>
        </w:rPr>
      </w:pPr>
      <w:r w:rsidRPr="001B0EF7">
        <w:rPr>
          <w:rFonts w:asciiTheme="majorHAnsi" w:hAnsiTheme="majorHAnsi" w:cs="Arial"/>
          <w:noProof/>
          <w:color w:val="008C92"/>
        </w:rPr>
        <w:drawing>
          <wp:anchor distT="0" distB="0" distL="114300" distR="114300" simplePos="0" relativeHeight="251666432" behindDoc="0" locked="0" layoutInCell="1" allowOverlap="1" wp14:anchorId="00D00658" wp14:editId="2AC18167">
            <wp:simplePos x="0" y="0"/>
            <wp:positionH relativeFrom="column">
              <wp:align>left</wp:align>
            </wp:positionH>
            <wp:positionV relativeFrom="paragraph">
              <wp:posOffset>81602</wp:posOffset>
            </wp:positionV>
            <wp:extent cx="352425" cy="309707"/>
            <wp:effectExtent l="0" t="0" r="0" b="0"/>
            <wp:wrapSquare wrapText="bothSides"/>
            <wp:docPr id="1" name="Picture 1" descr="C:\Users\achoover\AppData\Local\Temp\Articulate\Storyline\6WQCJDxz2a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choover\AppData\Local\Temp\Articulate\Storyline\6WQCJDxz2a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 cy="309707"/>
                    </a:xfrm>
                    <a:prstGeom prst="rect">
                      <a:avLst/>
                    </a:prstGeom>
                    <a:noFill/>
                    <a:ln>
                      <a:noFill/>
                    </a:ln>
                  </pic:spPr>
                </pic:pic>
              </a:graphicData>
            </a:graphic>
          </wp:anchor>
        </w:drawing>
      </w:r>
      <w:r w:rsidR="000A7DDC">
        <w:rPr>
          <w:rFonts w:cs="Arial"/>
          <w:color w:val="000000" w:themeColor="text1"/>
          <w:sz w:val="20"/>
          <w:szCs w:val="20"/>
        </w:rPr>
        <w:t xml:space="preserve">This Special Fraud Alert </w:t>
      </w:r>
      <w:r>
        <w:rPr>
          <w:rFonts w:cs="Arial"/>
          <w:color w:val="000000" w:themeColor="text1"/>
          <w:sz w:val="20"/>
          <w:szCs w:val="20"/>
        </w:rPr>
        <w:t xml:space="preserve">was </w:t>
      </w:r>
      <w:r w:rsidR="000A7DDC">
        <w:rPr>
          <w:rFonts w:cs="Arial"/>
          <w:color w:val="000000" w:themeColor="text1"/>
          <w:sz w:val="20"/>
          <w:szCs w:val="20"/>
        </w:rPr>
        <w:t xml:space="preserve">released during </w:t>
      </w:r>
      <w:r>
        <w:rPr>
          <w:rFonts w:cs="Arial"/>
          <w:color w:val="000000" w:themeColor="text1"/>
          <w:sz w:val="20"/>
          <w:szCs w:val="20"/>
        </w:rPr>
        <w:t xml:space="preserve">the </w:t>
      </w:r>
      <w:r w:rsidR="000A7DDC">
        <w:rPr>
          <w:rFonts w:cs="Arial"/>
          <w:color w:val="000000" w:themeColor="text1"/>
          <w:sz w:val="20"/>
          <w:szCs w:val="20"/>
        </w:rPr>
        <w:t xml:space="preserve">pandemic </w:t>
      </w:r>
      <w:r>
        <w:rPr>
          <w:rFonts w:cs="Arial"/>
          <w:color w:val="000000" w:themeColor="text1"/>
          <w:sz w:val="20"/>
          <w:szCs w:val="20"/>
        </w:rPr>
        <w:t xml:space="preserve">when </w:t>
      </w:r>
      <w:r w:rsidR="000A7DDC">
        <w:rPr>
          <w:rFonts w:cs="Arial"/>
          <w:color w:val="000000" w:themeColor="text1"/>
          <w:sz w:val="20"/>
          <w:szCs w:val="20"/>
        </w:rPr>
        <w:t xml:space="preserve">many companies </w:t>
      </w:r>
      <w:r>
        <w:rPr>
          <w:rFonts w:cs="Arial"/>
          <w:color w:val="000000" w:themeColor="text1"/>
          <w:sz w:val="20"/>
          <w:szCs w:val="20"/>
        </w:rPr>
        <w:t xml:space="preserve">were not </w:t>
      </w:r>
      <w:r w:rsidR="000A7DDC">
        <w:rPr>
          <w:rFonts w:cs="Arial"/>
          <w:color w:val="000000" w:themeColor="text1"/>
          <w:sz w:val="20"/>
          <w:szCs w:val="20"/>
        </w:rPr>
        <w:t xml:space="preserve">hosting traditional speaker programs. </w:t>
      </w:r>
      <w:r w:rsidR="00C822DE">
        <w:rPr>
          <w:rFonts w:cs="Arial"/>
          <w:color w:val="000000" w:themeColor="text1"/>
          <w:sz w:val="20"/>
          <w:szCs w:val="20"/>
        </w:rPr>
        <w:t>S</w:t>
      </w:r>
      <w:r w:rsidR="000A7DDC">
        <w:rPr>
          <w:rFonts w:cs="Arial"/>
          <w:color w:val="000000" w:themeColor="text1"/>
          <w:sz w:val="20"/>
          <w:szCs w:val="20"/>
        </w:rPr>
        <w:t xml:space="preserve">hould a </w:t>
      </w:r>
      <w:r w:rsidR="00B13AC9">
        <w:rPr>
          <w:rFonts w:cs="Arial"/>
          <w:color w:val="000000" w:themeColor="text1"/>
          <w:sz w:val="20"/>
          <w:szCs w:val="20"/>
        </w:rPr>
        <w:t>vendor</w:t>
      </w:r>
      <w:r w:rsidR="000A7DDC">
        <w:rPr>
          <w:rFonts w:cs="Arial"/>
          <w:color w:val="000000" w:themeColor="text1"/>
          <w:sz w:val="20"/>
          <w:szCs w:val="20"/>
        </w:rPr>
        <w:t xml:space="preserve"> choose to return to traditional speaker programs</w:t>
      </w:r>
      <w:r w:rsidR="00C822DE">
        <w:rPr>
          <w:rFonts w:cs="Arial"/>
          <w:color w:val="000000" w:themeColor="text1"/>
          <w:sz w:val="20"/>
          <w:szCs w:val="20"/>
        </w:rPr>
        <w:t xml:space="preserve"> after the pandemic</w:t>
      </w:r>
      <w:r w:rsidR="000A7DDC">
        <w:rPr>
          <w:rFonts w:cs="Arial"/>
          <w:color w:val="000000" w:themeColor="text1"/>
          <w:sz w:val="20"/>
          <w:szCs w:val="20"/>
        </w:rPr>
        <w:t xml:space="preserve">, the Special Fraud Alert </w:t>
      </w:r>
      <w:r>
        <w:rPr>
          <w:rFonts w:cs="Arial"/>
          <w:color w:val="000000" w:themeColor="text1"/>
          <w:sz w:val="20"/>
          <w:szCs w:val="20"/>
        </w:rPr>
        <w:t>warns</w:t>
      </w:r>
      <w:r w:rsidR="000A7DDC">
        <w:rPr>
          <w:rFonts w:cs="Arial"/>
          <w:color w:val="000000" w:themeColor="text1"/>
          <w:sz w:val="20"/>
          <w:szCs w:val="20"/>
        </w:rPr>
        <w:t>, “[risks] will become more pronounced if companies resume in-person speaker programs or increase speaker program-related remuneration to HCPs</w:t>
      </w:r>
      <w:r w:rsidR="00C822DE">
        <w:rPr>
          <w:rFonts w:cs="Arial"/>
          <w:color w:val="000000" w:themeColor="text1"/>
          <w:sz w:val="20"/>
          <w:szCs w:val="20"/>
        </w:rPr>
        <w:t>”</w:t>
      </w:r>
      <w:r w:rsidR="000A7DDC">
        <w:rPr>
          <w:rFonts w:cs="Arial"/>
          <w:color w:val="000000" w:themeColor="text1"/>
          <w:sz w:val="20"/>
          <w:szCs w:val="20"/>
        </w:rPr>
        <w:t>.</w:t>
      </w:r>
    </w:p>
    <w:p w14:paraId="364F0468" w14:textId="77777777" w:rsidR="000A7DDC" w:rsidRDefault="000A7DDC" w:rsidP="00971A15">
      <w:pPr>
        <w:tabs>
          <w:tab w:val="left" w:pos="-360"/>
          <w:tab w:val="left" w:pos="180"/>
        </w:tabs>
        <w:spacing w:after="240" w:line="240" w:lineRule="auto"/>
        <w:ind w:left="-90" w:right="-180"/>
        <w:jc w:val="both"/>
        <w:rPr>
          <w:rFonts w:cs="Arial"/>
          <w:color w:val="000000" w:themeColor="text1"/>
          <w:sz w:val="20"/>
          <w:szCs w:val="20"/>
        </w:rPr>
      </w:pPr>
    </w:p>
    <w:p w14:paraId="1068EB91" w14:textId="1045FFBE" w:rsidR="000A7DDC" w:rsidRPr="00971A15" w:rsidRDefault="001F28A2" w:rsidP="00971A15">
      <w:pPr>
        <w:tabs>
          <w:tab w:val="left" w:pos="180"/>
        </w:tabs>
        <w:spacing w:after="0" w:line="240" w:lineRule="auto"/>
        <w:ind w:left="-90" w:right="-180"/>
        <w:jc w:val="both"/>
        <w:rPr>
          <w:rFonts w:cs="Arial"/>
          <w:b/>
          <w:bCs/>
          <w:color w:val="008C95"/>
        </w:rPr>
      </w:pPr>
      <w:r w:rsidRPr="00971A15">
        <w:rPr>
          <w:rFonts w:cs="Arial"/>
          <w:b/>
          <w:bCs/>
          <w:color w:val="008C95"/>
        </w:rPr>
        <w:t>Questions?</w:t>
      </w:r>
    </w:p>
    <w:p w14:paraId="2509274A" w14:textId="03618057" w:rsidR="000A7DDC" w:rsidRDefault="001F28A2" w:rsidP="00971A15">
      <w:pPr>
        <w:spacing w:after="0" w:line="240" w:lineRule="auto"/>
        <w:ind w:left="-90" w:right="-180"/>
        <w:jc w:val="both"/>
      </w:pPr>
      <w:r w:rsidRPr="001F28A2">
        <w:rPr>
          <w:rFonts w:cs="Arial"/>
          <w:b/>
          <w:noProof/>
          <w:color w:val="000000" w:themeColor="text1"/>
          <w:sz w:val="20"/>
          <w:szCs w:val="20"/>
        </w:rPr>
        <mc:AlternateContent>
          <mc:Choice Requires="wps">
            <w:drawing>
              <wp:anchor distT="45720" distB="45720" distL="114300" distR="114300" simplePos="0" relativeHeight="251668480" behindDoc="0" locked="0" layoutInCell="1" allowOverlap="1" wp14:anchorId="1300C2D0" wp14:editId="79FF2528">
                <wp:simplePos x="0" y="0"/>
                <wp:positionH relativeFrom="column">
                  <wp:posOffset>1959996</wp:posOffset>
                </wp:positionH>
                <wp:positionV relativeFrom="paragraph">
                  <wp:posOffset>1049627</wp:posOffset>
                </wp:positionV>
                <wp:extent cx="1380379" cy="364822"/>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0379" cy="364822"/>
                        </a:xfrm>
                        <a:prstGeom prst="rect">
                          <a:avLst/>
                        </a:prstGeom>
                        <a:solidFill>
                          <a:srgbClr val="FFFFFF"/>
                        </a:solidFill>
                        <a:ln w="9525">
                          <a:noFill/>
                          <a:miter lim="800000"/>
                          <a:headEnd/>
                          <a:tailEnd/>
                        </a:ln>
                      </wps:spPr>
                      <wps:txbx>
                        <w:txbxContent>
                          <w:p w14:paraId="6E3A23DF" w14:textId="16AAD228" w:rsidR="001F28A2" w:rsidRPr="001F28A2" w:rsidRDefault="001F28A2" w:rsidP="001F28A2">
                            <w:pPr>
                              <w:spacing w:after="0"/>
                              <w:jc w:val="right"/>
                              <w:rPr>
                                <w:sz w:val="16"/>
                                <w:szCs w:val="16"/>
                              </w:rPr>
                            </w:pPr>
                            <w:r w:rsidRPr="001F28A2">
                              <w:rPr>
                                <w:sz w:val="16"/>
                                <w:szCs w:val="16"/>
                              </w:rPr>
                              <w:t>Atrium Health - March 2021</w:t>
                            </w:r>
                          </w:p>
                          <w:p w14:paraId="324CFCD5" w14:textId="0A32B0CC" w:rsidR="001F28A2" w:rsidRPr="001F28A2" w:rsidRDefault="001F28A2" w:rsidP="001F28A2">
                            <w:pPr>
                              <w:jc w:val="right"/>
                              <w:rPr>
                                <w:sz w:val="16"/>
                                <w:szCs w:val="16"/>
                              </w:rPr>
                            </w:pPr>
                            <w:r w:rsidRPr="001F28A2">
                              <w:rPr>
                                <w:sz w:val="16"/>
                                <w:szCs w:val="16"/>
                              </w:rPr>
                              <w:t>For Internal Use O</w:t>
                            </w:r>
                            <w:r>
                              <w:rPr>
                                <w:sz w:val="16"/>
                                <w:szCs w:val="16"/>
                              </w:rPr>
                              <w:t>n</w:t>
                            </w:r>
                            <w:r w:rsidRPr="001F28A2">
                              <w:rPr>
                                <w:sz w:val="16"/>
                                <w:szCs w:val="16"/>
                              </w:rPr>
                              <w:t>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 style="position:absolute;left:0;text-align:left;margin-left:154.35pt;margin-top:82.65pt;width:108.7pt;height:28.7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" w14:anchorId="1300C2D0">
                <v:textbox>
                  <w:txbxContent>
                    <w:p w:rsidRPr="001F28A2" w:rsidR="001F28A2" w:rsidP="001F28A2" w:rsidRDefault="001F28A2" w14:paraId="6E3A23DF" w14:textId="16AAD228">
                      <w:pPr>
                        <w:spacing w:after="0"/>
                        <w:jc w:val="right"/>
                        <w:rPr>
                          <w:sz w:val="16"/>
                          <w:szCs w:val="16"/>
                        </w:rPr>
                      </w:pPr>
                      <w:r w:rsidRPr="001F28A2">
                        <w:rPr>
                          <w:sz w:val="16"/>
                          <w:szCs w:val="16"/>
                        </w:rPr>
                        <w:t>Atrium Health - March 2021</w:t>
                      </w:r>
                    </w:p>
                    <w:p w:rsidRPr="001F28A2" w:rsidR="001F28A2" w:rsidP="001F28A2" w:rsidRDefault="001F28A2" w14:paraId="324CFCD5" w14:textId="0A32B0CC">
                      <w:pPr>
                        <w:jc w:val="right"/>
                        <w:rPr>
                          <w:sz w:val="16"/>
                          <w:szCs w:val="16"/>
                        </w:rPr>
                      </w:pPr>
                      <w:r w:rsidRPr="001F28A2">
                        <w:rPr>
                          <w:sz w:val="16"/>
                          <w:szCs w:val="16"/>
                        </w:rPr>
                        <w:t>For Internal Use O</w:t>
                      </w:r>
                      <w:r>
                        <w:rPr>
                          <w:sz w:val="16"/>
                          <w:szCs w:val="16"/>
                        </w:rPr>
                        <w:t>n</w:t>
                      </w:r>
                      <w:r w:rsidRPr="001F28A2">
                        <w:rPr>
                          <w:sz w:val="16"/>
                          <w:szCs w:val="16"/>
                        </w:rPr>
                        <w:t>ly</w:t>
                      </w:r>
                    </w:p>
                  </w:txbxContent>
                </v:textbox>
              </v:shape>
            </w:pict>
          </mc:Fallback>
        </mc:AlternateContent>
      </w:r>
      <w:r>
        <w:rPr>
          <w:rFonts w:cs="Arial"/>
          <w:color w:val="000000" w:themeColor="text1"/>
          <w:sz w:val="20"/>
          <w:szCs w:val="20"/>
        </w:rPr>
        <w:t xml:space="preserve">Contact the Compliance Department or the Legal Department if you have questions or concerns about a speaking arrangement.  If you have a pending speaker engagement, submit it through the eForm for review. </w:t>
      </w:r>
    </w:p>
    <w:sectPr w:rsidR="000A7DDC" w:rsidSect="00C822DE">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F42672"/>
    <w:multiLevelType w:val="hybridMultilevel"/>
    <w:tmpl w:val="1FD815E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638"/>
    <w:rsid w:val="000655A0"/>
    <w:rsid w:val="00092153"/>
    <w:rsid w:val="000A7DDC"/>
    <w:rsid w:val="00104D80"/>
    <w:rsid w:val="001B0EF7"/>
    <w:rsid w:val="001F28A2"/>
    <w:rsid w:val="005E7DCC"/>
    <w:rsid w:val="00624653"/>
    <w:rsid w:val="00690F29"/>
    <w:rsid w:val="00971A15"/>
    <w:rsid w:val="00B13AC9"/>
    <w:rsid w:val="00B24638"/>
    <w:rsid w:val="00B31E9C"/>
    <w:rsid w:val="00C822DE"/>
    <w:rsid w:val="00CE5B87"/>
    <w:rsid w:val="00F6120D"/>
    <w:rsid w:val="66D64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66A88"/>
  <w15:chartTrackingRefBased/>
  <w15:docId w15:val="{5D760264-200C-4376-9E9F-5235D55CE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7DDC"/>
    <w:pPr>
      <w:ind w:left="720"/>
      <w:contextualSpacing/>
    </w:pPr>
  </w:style>
  <w:style w:type="character" w:styleId="Hyperlink">
    <w:name w:val="Hyperlink"/>
    <w:basedOn w:val="DefaultParagraphFont"/>
    <w:uiPriority w:val="99"/>
    <w:unhideWhenUsed/>
    <w:rsid w:val="001F28A2"/>
    <w:rPr>
      <w:color w:val="0563C1" w:themeColor="hyperlink"/>
      <w:u w:val="single"/>
    </w:rPr>
  </w:style>
  <w:style w:type="character" w:customStyle="1" w:styleId="UnresolvedMention">
    <w:name w:val="Unresolved Mention"/>
    <w:basedOn w:val="DefaultParagraphFont"/>
    <w:uiPriority w:val="99"/>
    <w:semiHidden/>
    <w:unhideWhenUsed/>
    <w:rsid w:val="001F28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0FE9BD938CFC4499FEFC3FF401B425" ma:contentTypeVersion="10" ma:contentTypeDescription="Create a new document." ma:contentTypeScope="" ma:versionID="17f29fe1a9fac5a4342da190d812844c">
  <xsd:schema xmlns:xsd="http://www.w3.org/2001/XMLSchema" xmlns:xs="http://www.w3.org/2001/XMLSchema" xmlns:p="http://schemas.microsoft.com/office/2006/metadata/properties" xmlns:ns3="d5b3e323-8c20-4d2e-9fb9-50a5c08a2e2c" xmlns:ns4="63ba1364-2327-4139-a723-37024b3e5635" targetNamespace="http://schemas.microsoft.com/office/2006/metadata/properties" ma:root="true" ma:fieldsID="c324e15d25e0dfe21811d0aba358e14a" ns3:_="" ns4:_="">
    <xsd:import namespace="d5b3e323-8c20-4d2e-9fb9-50a5c08a2e2c"/>
    <xsd:import namespace="63ba1364-2327-4139-a723-37024b3e563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b3e323-8c20-4d2e-9fb9-50a5c08a2e2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ba1364-2327-4139-a723-37024b3e563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8D46AE-72B3-410B-AD72-3447A55A7F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b3e323-8c20-4d2e-9fb9-50a5c08a2e2c"/>
    <ds:schemaRef ds:uri="63ba1364-2327-4139-a723-37024b3e56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EB9AD1-69AD-4C77-BC82-9225128B67B6}">
  <ds:schemaRefs>
    <ds:schemaRef ds:uri="http://schemas.microsoft.com/office/infopath/2007/PartnerControls"/>
    <ds:schemaRef ds:uri="63ba1364-2327-4139-a723-37024b3e5635"/>
    <ds:schemaRef ds:uri="http://purl.org/dc/terms/"/>
    <ds:schemaRef ds:uri="d5b3e323-8c20-4d2e-9fb9-50a5c08a2e2c"/>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B060DF0B-3EEF-488B-AEDC-8A59DA79B2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588</Words>
  <Characters>3355</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WFBH</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 Chatham</dc:creator>
  <cp:keywords/>
  <dc:description/>
  <cp:lastModifiedBy>Debra McBride</cp:lastModifiedBy>
  <cp:revision>2</cp:revision>
  <dcterms:created xsi:type="dcterms:W3CDTF">2021-12-13T19:23:00Z</dcterms:created>
  <dcterms:modified xsi:type="dcterms:W3CDTF">2021-12-13T19:23:00Z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0x010100670FE9BD938CFC4499FEFC3FF401B425</vt:lpwstr>
  </property>
</Properties>
</file>