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94" w:rsidRPr="00134F94" w:rsidRDefault="00134F94" w:rsidP="00134F94">
      <w:pPr>
        <w:spacing w:after="0"/>
        <w:jc w:val="center"/>
        <w:rPr>
          <w:b/>
          <w:bCs/>
          <w:sz w:val="21"/>
          <w:szCs w:val="21"/>
          <w:u w:val="single"/>
        </w:rPr>
      </w:pPr>
      <w:r w:rsidRPr="00134F94">
        <w:rPr>
          <w:b/>
          <w:bCs/>
          <w:sz w:val="21"/>
          <w:szCs w:val="21"/>
          <w:u w:val="single"/>
        </w:rPr>
        <w:t>The below process is for faculty based in the Triad market. Faculty in the greater Charlotte market should contact Rachel Ellis (</w:t>
      </w:r>
      <w:hyperlink r:id="rId7" w:history="1">
        <w:r w:rsidRPr="00134F94">
          <w:rPr>
            <w:rStyle w:val="Hyperlink"/>
            <w:b/>
            <w:bCs/>
            <w:sz w:val="21"/>
            <w:szCs w:val="21"/>
          </w:rPr>
          <w:t>Rachel.Ellis@atriumhealth.org</w:t>
        </w:r>
      </w:hyperlink>
      <w:r w:rsidRPr="00134F94">
        <w:rPr>
          <w:b/>
          <w:bCs/>
          <w:sz w:val="21"/>
          <w:szCs w:val="21"/>
          <w:u w:val="single"/>
        </w:rPr>
        <w:t>).</w:t>
      </w:r>
    </w:p>
    <w:p w:rsidR="00885DBC" w:rsidRDefault="00885DBC" w:rsidP="000F2AAA">
      <w:pPr>
        <w:spacing w:after="0"/>
        <w:rPr>
          <w:sz w:val="21"/>
          <w:szCs w:val="21"/>
        </w:rPr>
      </w:pPr>
    </w:p>
    <w:p w:rsidR="00885DBC" w:rsidRDefault="00885DBC" w:rsidP="000F2AAA">
      <w:pPr>
        <w:spacing w:after="0"/>
        <w:rPr>
          <w:sz w:val="21"/>
          <w:szCs w:val="21"/>
        </w:rPr>
      </w:pPr>
    </w:p>
    <w:p w:rsidR="000F2AAA" w:rsidRPr="0033696E" w:rsidRDefault="000F2AAA" w:rsidP="000F2AAA">
      <w:pPr>
        <w:spacing w:after="0"/>
        <w:rPr>
          <w:sz w:val="21"/>
          <w:szCs w:val="21"/>
        </w:rPr>
      </w:pPr>
      <w:r w:rsidRPr="0033696E">
        <w:rPr>
          <w:sz w:val="21"/>
          <w:szCs w:val="21"/>
        </w:rPr>
        <w:t xml:space="preserve">This is a call for concept proposals for the </w:t>
      </w:r>
      <w:r w:rsidR="00062567">
        <w:rPr>
          <w:sz w:val="21"/>
          <w:szCs w:val="21"/>
          <w:u w:val="single"/>
        </w:rPr>
        <w:t>June 15, 2023</w:t>
      </w:r>
      <w:r w:rsidRPr="0033696E">
        <w:rPr>
          <w:sz w:val="21"/>
          <w:szCs w:val="21"/>
        </w:rPr>
        <w:t xml:space="preserve"> cycle of The Duke Endowment (TDE) funding. Interested applicants should refer to the summary information below</w:t>
      </w:r>
      <w:r w:rsidR="001E252B" w:rsidRPr="0033696E">
        <w:rPr>
          <w:sz w:val="21"/>
          <w:szCs w:val="21"/>
        </w:rPr>
        <w:t xml:space="preserve"> and submit the concept proposal on page three to </w:t>
      </w:r>
      <w:r w:rsidR="00062567">
        <w:rPr>
          <w:sz w:val="21"/>
          <w:szCs w:val="21"/>
        </w:rPr>
        <w:t>Chad Daniel by Monday, February 27th</w:t>
      </w:r>
      <w:r w:rsidR="001E252B" w:rsidRPr="0033696E">
        <w:rPr>
          <w:sz w:val="21"/>
          <w:szCs w:val="21"/>
        </w:rPr>
        <w:t xml:space="preserve">.  </w:t>
      </w:r>
    </w:p>
    <w:p w:rsidR="000F2AAA" w:rsidRPr="0033696E" w:rsidRDefault="000F2AAA" w:rsidP="000F2AAA">
      <w:pPr>
        <w:spacing w:after="0"/>
        <w:rPr>
          <w:sz w:val="21"/>
          <w:szCs w:val="21"/>
          <w:u w:val="single"/>
        </w:rPr>
      </w:pPr>
    </w:p>
    <w:p w:rsidR="000F2AAA" w:rsidRPr="0033696E" w:rsidRDefault="000F2AAA" w:rsidP="000F2AAA">
      <w:pPr>
        <w:spacing w:after="0"/>
        <w:rPr>
          <w:b/>
          <w:sz w:val="21"/>
          <w:szCs w:val="21"/>
        </w:rPr>
      </w:pPr>
      <w:r w:rsidRPr="0033696E">
        <w:rPr>
          <w:b/>
          <w:sz w:val="21"/>
          <w:szCs w:val="21"/>
          <w:u w:val="single"/>
        </w:rPr>
        <w:t>Important Deadlines</w:t>
      </w:r>
      <w:r w:rsidRPr="0033696E">
        <w:rPr>
          <w:b/>
          <w:sz w:val="21"/>
          <w:szCs w:val="21"/>
        </w:rPr>
        <w:t>:</w:t>
      </w:r>
    </w:p>
    <w:p w:rsidR="000F2AAA" w:rsidRPr="0033696E" w:rsidRDefault="00062567" w:rsidP="000F2AAA">
      <w:pPr>
        <w:spacing w:after="0"/>
        <w:rPr>
          <w:sz w:val="21"/>
          <w:szCs w:val="21"/>
        </w:rPr>
      </w:pPr>
      <w:r>
        <w:rPr>
          <w:b/>
          <w:bCs/>
          <w:sz w:val="21"/>
          <w:szCs w:val="21"/>
        </w:rPr>
        <w:t xml:space="preserve">February 27 </w:t>
      </w:r>
      <w:r w:rsidR="004C5ED0" w:rsidRPr="0033696E">
        <w:rPr>
          <w:b/>
          <w:bCs/>
          <w:sz w:val="21"/>
          <w:szCs w:val="21"/>
        </w:rPr>
        <w:t xml:space="preserve">-- </w:t>
      </w:r>
      <w:r w:rsidR="000F2AAA" w:rsidRPr="0033696E">
        <w:rPr>
          <w:sz w:val="21"/>
          <w:szCs w:val="21"/>
        </w:rPr>
        <w:t xml:space="preserve">Internal Deadline - </w:t>
      </w:r>
      <w:r w:rsidR="000F2AAA" w:rsidRPr="0033696E">
        <w:rPr>
          <w:i/>
          <w:iCs/>
          <w:sz w:val="21"/>
          <w:szCs w:val="21"/>
        </w:rPr>
        <w:t xml:space="preserve">Send concept proposals to </w:t>
      </w:r>
      <w:r>
        <w:rPr>
          <w:i/>
          <w:iCs/>
          <w:sz w:val="21"/>
          <w:szCs w:val="21"/>
        </w:rPr>
        <w:t>Chad Daniel</w:t>
      </w:r>
      <w:r w:rsidR="000F2AAA" w:rsidRPr="0033696E">
        <w:rPr>
          <w:i/>
          <w:iCs/>
          <w:sz w:val="21"/>
          <w:szCs w:val="21"/>
        </w:rPr>
        <w:t xml:space="preserve"> </w:t>
      </w:r>
      <w:r w:rsidR="00FB45B7" w:rsidRPr="0033696E">
        <w:rPr>
          <w:sz w:val="21"/>
          <w:szCs w:val="21"/>
        </w:rPr>
        <w:t>(</w:t>
      </w:r>
      <w:hyperlink r:id="rId8" w:history="1">
        <w:r w:rsidRPr="00523A03">
          <w:rPr>
            <w:rStyle w:val="Hyperlink"/>
            <w:sz w:val="21"/>
            <w:szCs w:val="21"/>
          </w:rPr>
          <w:t>cdaniel@wakehealth.edu</w:t>
        </w:r>
      </w:hyperlink>
      <w:r w:rsidR="00FB45B7" w:rsidRPr="0033696E">
        <w:rPr>
          <w:sz w:val="21"/>
          <w:szCs w:val="21"/>
        </w:rPr>
        <w:t>).</w:t>
      </w:r>
    </w:p>
    <w:p w:rsidR="000F2AAA" w:rsidRPr="0033696E" w:rsidRDefault="00062567" w:rsidP="000F2AAA">
      <w:pPr>
        <w:spacing w:after="0"/>
        <w:ind w:left="1350" w:hanging="1350"/>
        <w:rPr>
          <w:i/>
          <w:iCs/>
          <w:sz w:val="21"/>
          <w:szCs w:val="21"/>
        </w:rPr>
      </w:pPr>
      <w:r>
        <w:rPr>
          <w:b/>
          <w:bCs/>
          <w:sz w:val="21"/>
          <w:szCs w:val="21"/>
        </w:rPr>
        <w:t xml:space="preserve">March </w:t>
      </w:r>
      <w:proofErr w:type="gramStart"/>
      <w:r>
        <w:rPr>
          <w:b/>
          <w:bCs/>
          <w:sz w:val="21"/>
          <w:szCs w:val="21"/>
        </w:rPr>
        <w:t xml:space="preserve">24 </w:t>
      </w:r>
      <w:r w:rsidR="000F2AAA" w:rsidRPr="0033696E">
        <w:rPr>
          <w:b/>
          <w:bCs/>
          <w:sz w:val="21"/>
          <w:szCs w:val="21"/>
        </w:rPr>
        <w:t xml:space="preserve"> </w:t>
      </w:r>
      <w:r w:rsidR="000F2AAA" w:rsidRPr="0033696E">
        <w:rPr>
          <w:sz w:val="21"/>
          <w:szCs w:val="21"/>
        </w:rPr>
        <w:t>–</w:t>
      </w:r>
      <w:proofErr w:type="gramEnd"/>
      <w:r w:rsidR="000F2AAA" w:rsidRPr="0033696E">
        <w:rPr>
          <w:sz w:val="21"/>
          <w:szCs w:val="21"/>
        </w:rPr>
        <w:t xml:space="preserve"> Applicants will be notified of feedback from TDE. Invited applicants will work with the Office of Philanthropy on the full application. </w:t>
      </w:r>
      <w:r w:rsidR="000F2AAA" w:rsidRPr="0033696E">
        <w:rPr>
          <w:i/>
          <w:iCs/>
          <w:sz w:val="21"/>
          <w:szCs w:val="21"/>
        </w:rPr>
        <w:t>An invitation to submit a full application does not guarantee funding.</w:t>
      </w:r>
    </w:p>
    <w:p w:rsidR="000F2AAA" w:rsidRPr="0033696E" w:rsidRDefault="00062567" w:rsidP="000F2AAA">
      <w:pPr>
        <w:spacing w:after="0"/>
        <w:rPr>
          <w:sz w:val="21"/>
          <w:szCs w:val="21"/>
        </w:rPr>
      </w:pPr>
      <w:r>
        <w:rPr>
          <w:b/>
          <w:bCs/>
          <w:sz w:val="21"/>
          <w:szCs w:val="21"/>
        </w:rPr>
        <w:t>June</w:t>
      </w:r>
      <w:r w:rsidR="004C17B3" w:rsidRPr="0033696E">
        <w:rPr>
          <w:b/>
          <w:bCs/>
          <w:sz w:val="21"/>
          <w:szCs w:val="21"/>
        </w:rPr>
        <w:t xml:space="preserve"> 15</w:t>
      </w:r>
      <w:r w:rsidR="000F2AAA" w:rsidRPr="0033696E">
        <w:rPr>
          <w:b/>
          <w:bCs/>
          <w:sz w:val="21"/>
          <w:szCs w:val="21"/>
        </w:rPr>
        <w:t xml:space="preserve"> </w:t>
      </w:r>
      <w:r w:rsidR="000F2AAA" w:rsidRPr="0033696E">
        <w:rPr>
          <w:sz w:val="21"/>
          <w:szCs w:val="21"/>
        </w:rPr>
        <w:t>– External full application deadline</w:t>
      </w:r>
    </w:p>
    <w:p w:rsidR="000F2AAA" w:rsidRDefault="000F2AAA" w:rsidP="000F2AAA">
      <w:pPr>
        <w:spacing w:after="0"/>
        <w:rPr>
          <w:sz w:val="21"/>
          <w:szCs w:val="21"/>
        </w:rPr>
      </w:pPr>
    </w:p>
    <w:p w:rsidR="00134F94" w:rsidRDefault="00134F94" w:rsidP="000F2AAA">
      <w:pPr>
        <w:spacing w:after="0"/>
        <w:rPr>
          <w:sz w:val="21"/>
          <w:szCs w:val="21"/>
        </w:rPr>
      </w:pPr>
    </w:p>
    <w:p w:rsidR="00134F94" w:rsidRPr="00134F94" w:rsidRDefault="00134F94" w:rsidP="00134F94">
      <w:pPr>
        <w:spacing w:after="0"/>
        <w:rPr>
          <w:b/>
          <w:bCs/>
          <w:i/>
          <w:iCs/>
          <w:sz w:val="21"/>
          <w:szCs w:val="21"/>
          <w:u w:val="single"/>
        </w:rPr>
      </w:pPr>
      <w:r w:rsidRPr="00134F94">
        <w:rPr>
          <w:b/>
          <w:bCs/>
          <w:i/>
          <w:iCs/>
          <w:sz w:val="21"/>
          <w:szCs w:val="21"/>
          <w:u w:val="single"/>
        </w:rPr>
        <w:t>Guidelines</w:t>
      </w:r>
    </w:p>
    <w:p w:rsidR="00134F94" w:rsidRPr="00134F94" w:rsidRDefault="00134F94" w:rsidP="00134F94">
      <w:pPr>
        <w:numPr>
          <w:ilvl w:val="0"/>
          <w:numId w:val="3"/>
        </w:numPr>
        <w:spacing w:after="0"/>
        <w:rPr>
          <w:b/>
          <w:bCs/>
          <w:i/>
          <w:iCs/>
          <w:sz w:val="21"/>
          <w:szCs w:val="21"/>
          <w:u w:val="single"/>
        </w:rPr>
      </w:pPr>
      <w:r w:rsidRPr="00134F94">
        <w:rPr>
          <w:b/>
          <w:bCs/>
          <w:i/>
          <w:iCs/>
          <w:sz w:val="21"/>
          <w:szCs w:val="21"/>
          <w:u w:val="single"/>
        </w:rPr>
        <w:t xml:space="preserve">The Duke Endowment will not fund 100% of a project. </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 xml:space="preserve">There is no max request amount, but the budget must decrease each year. </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No overhead/F&amp;A is allowed.</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Projects can be 12, 24 or 36 months.</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Basic research projects are ineligible.</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 xml:space="preserve">Sustainability is a key component and a strong plan to sustain and grow the project (if applicable) should be established. </w:t>
      </w:r>
    </w:p>
    <w:p w:rsidR="00134F94" w:rsidRPr="00134F94" w:rsidRDefault="00134F94" w:rsidP="00134F94">
      <w:pPr>
        <w:numPr>
          <w:ilvl w:val="0"/>
          <w:numId w:val="3"/>
        </w:numPr>
        <w:spacing w:after="0"/>
        <w:rPr>
          <w:i/>
          <w:iCs/>
          <w:sz w:val="21"/>
          <w:szCs w:val="21"/>
          <w:u w:val="single"/>
        </w:rPr>
      </w:pPr>
      <w:r w:rsidRPr="00134F94">
        <w:rPr>
          <w:i/>
          <w:iCs/>
          <w:sz w:val="21"/>
          <w:szCs w:val="21"/>
          <w:u w:val="single"/>
        </w:rPr>
        <w:t xml:space="preserve">Proposals including community health workers, food insecurity or </w:t>
      </w:r>
      <w:proofErr w:type="spellStart"/>
      <w:r w:rsidRPr="00134F94">
        <w:rPr>
          <w:i/>
          <w:iCs/>
          <w:sz w:val="21"/>
          <w:szCs w:val="21"/>
          <w:u w:val="single"/>
        </w:rPr>
        <w:t>paramedicine</w:t>
      </w:r>
      <w:proofErr w:type="spellEnd"/>
      <w:r w:rsidRPr="00134F94">
        <w:rPr>
          <w:i/>
          <w:iCs/>
          <w:sz w:val="21"/>
          <w:szCs w:val="21"/>
          <w:u w:val="single"/>
        </w:rPr>
        <w:t xml:space="preserve"> have additional TDE-specific outcome forms. Please contact Chad Daniel </w:t>
      </w:r>
      <w:hyperlink r:id="rId9" w:history="1">
        <w:r w:rsidRPr="00134F94">
          <w:rPr>
            <w:rStyle w:val="Hyperlink"/>
            <w:i/>
            <w:iCs/>
            <w:sz w:val="21"/>
            <w:szCs w:val="21"/>
          </w:rPr>
          <w:t xml:space="preserve">(cdaniel@wakehealth.edu) </w:t>
        </w:r>
      </w:hyperlink>
      <w:r w:rsidRPr="00134F94">
        <w:rPr>
          <w:i/>
          <w:iCs/>
          <w:sz w:val="21"/>
          <w:szCs w:val="21"/>
          <w:u w:val="single"/>
        </w:rPr>
        <w:t>by February 20, 2023 for more information.</w:t>
      </w:r>
    </w:p>
    <w:p w:rsidR="00134F94" w:rsidRDefault="00134F94" w:rsidP="000F2AAA">
      <w:pPr>
        <w:spacing w:after="0"/>
        <w:rPr>
          <w:sz w:val="21"/>
          <w:szCs w:val="21"/>
        </w:rPr>
      </w:pPr>
    </w:p>
    <w:p w:rsidR="000F2AAA" w:rsidRPr="0033696E" w:rsidRDefault="000F2AAA" w:rsidP="000F2AAA">
      <w:pPr>
        <w:spacing w:after="0"/>
        <w:rPr>
          <w:sz w:val="21"/>
          <w:szCs w:val="21"/>
        </w:rPr>
      </w:pPr>
    </w:p>
    <w:p w:rsidR="000F2AAA" w:rsidRPr="0033696E" w:rsidRDefault="000F2AAA" w:rsidP="000F2AAA">
      <w:pPr>
        <w:spacing w:after="0"/>
        <w:rPr>
          <w:b/>
          <w:sz w:val="21"/>
          <w:szCs w:val="21"/>
        </w:rPr>
      </w:pPr>
      <w:r w:rsidRPr="0033696E">
        <w:rPr>
          <w:b/>
          <w:sz w:val="21"/>
          <w:szCs w:val="21"/>
          <w:u w:val="single"/>
        </w:rPr>
        <w:t>Current strategies for the TDE Health Care Division</w:t>
      </w:r>
    </w:p>
    <w:p w:rsidR="004C5ED0" w:rsidRPr="0033696E" w:rsidRDefault="004C5ED0" w:rsidP="004C5ED0">
      <w:pPr>
        <w:spacing w:after="0"/>
        <w:rPr>
          <w:sz w:val="21"/>
          <w:szCs w:val="21"/>
        </w:rPr>
      </w:pPr>
      <w:r w:rsidRPr="00527ED9">
        <w:rPr>
          <w:sz w:val="21"/>
          <w:szCs w:val="21"/>
          <w:u w:val="single"/>
        </w:rPr>
        <w:t>Improve Community Health</w:t>
      </w:r>
      <w:r w:rsidR="009E1E13" w:rsidRPr="0033696E">
        <w:rPr>
          <w:sz w:val="21"/>
          <w:szCs w:val="21"/>
        </w:rPr>
        <w:t xml:space="preserve">: </w:t>
      </w:r>
      <w:r w:rsidRPr="0033696E">
        <w:rPr>
          <w:sz w:val="21"/>
          <w:szCs w:val="21"/>
        </w:rPr>
        <w:t xml:space="preserve">We advance programs and policies that promote healthy lifestyles and address social determinants of health. We create opportunities for collaboration to meet community needs and ensure local voices inform improvements. We prioritize data collection and sharing so that partners are better equipped to identify opportunities and target interventions. </w:t>
      </w:r>
    </w:p>
    <w:p w:rsidR="004C5ED0" w:rsidRPr="0033696E" w:rsidRDefault="004C5ED0" w:rsidP="004C5ED0">
      <w:pPr>
        <w:spacing w:after="0"/>
        <w:rPr>
          <w:sz w:val="21"/>
          <w:szCs w:val="21"/>
        </w:rPr>
      </w:pPr>
      <w:r w:rsidRPr="0033696E">
        <w:rPr>
          <w:sz w:val="21"/>
          <w:szCs w:val="21"/>
        </w:rPr>
        <w:t xml:space="preserve"> </w:t>
      </w:r>
    </w:p>
    <w:p w:rsidR="000F2AAA" w:rsidRPr="0033696E" w:rsidRDefault="004C5ED0" w:rsidP="004C5ED0">
      <w:pPr>
        <w:spacing w:after="0"/>
        <w:rPr>
          <w:sz w:val="21"/>
          <w:szCs w:val="21"/>
        </w:rPr>
      </w:pPr>
      <w:r w:rsidRPr="00527ED9">
        <w:rPr>
          <w:sz w:val="21"/>
          <w:szCs w:val="21"/>
          <w:u w:val="single"/>
        </w:rPr>
        <w:t>Enhance Patient Care</w:t>
      </w:r>
      <w:r w:rsidR="009E1E13" w:rsidRPr="0033696E">
        <w:rPr>
          <w:sz w:val="21"/>
          <w:szCs w:val="21"/>
        </w:rPr>
        <w:t xml:space="preserve">: </w:t>
      </w:r>
      <w:r w:rsidRPr="0033696E">
        <w:rPr>
          <w:sz w:val="21"/>
          <w:szCs w:val="21"/>
        </w:rPr>
        <w:t>We work with health systems and their community-based partners to identify, test, and spread innovative practices that have the potential for scale and sustainability. We prioritize models that build the capacity to provide essential health and social services to vulnerable populations. We know that by providing access to culturally appropriate care — at the right time and place — health improves.</w:t>
      </w:r>
    </w:p>
    <w:p w:rsidR="004C5ED0" w:rsidRPr="0033696E" w:rsidRDefault="004C5ED0" w:rsidP="004C5ED0">
      <w:pPr>
        <w:spacing w:after="0"/>
        <w:rPr>
          <w:sz w:val="21"/>
          <w:szCs w:val="21"/>
        </w:rPr>
      </w:pPr>
    </w:p>
    <w:p w:rsidR="004C5ED0" w:rsidRPr="0033696E" w:rsidRDefault="004C5ED0" w:rsidP="004C5ED0">
      <w:pPr>
        <w:spacing w:after="0"/>
        <w:rPr>
          <w:sz w:val="21"/>
          <w:szCs w:val="21"/>
        </w:rPr>
      </w:pPr>
      <w:r w:rsidRPr="0033696E">
        <w:rPr>
          <w:sz w:val="21"/>
          <w:szCs w:val="21"/>
        </w:rPr>
        <w:t>Topics of Interest:</w:t>
      </w:r>
    </w:p>
    <w:p w:rsidR="004C5ED0" w:rsidRPr="0033696E" w:rsidRDefault="004C5ED0" w:rsidP="0033696E">
      <w:pPr>
        <w:pStyle w:val="ListParagraph"/>
        <w:numPr>
          <w:ilvl w:val="0"/>
          <w:numId w:val="2"/>
        </w:numPr>
        <w:spacing w:after="0"/>
        <w:rPr>
          <w:sz w:val="21"/>
          <w:szCs w:val="21"/>
        </w:rPr>
      </w:pPr>
      <w:r w:rsidRPr="0033696E">
        <w:rPr>
          <w:sz w:val="21"/>
          <w:szCs w:val="21"/>
        </w:rPr>
        <w:t>Access to Care for Vulnerable Populations</w:t>
      </w:r>
    </w:p>
    <w:p w:rsidR="004C5ED0" w:rsidRPr="0033696E" w:rsidRDefault="004C5ED0" w:rsidP="009E1E13">
      <w:pPr>
        <w:pStyle w:val="ListParagraph"/>
        <w:numPr>
          <w:ilvl w:val="1"/>
          <w:numId w:val="2"/>
        </w:numPr>
        <w:spacing w:after="0"/>
        <w:rPr>
          <w:sz w:val="21"/>
          <w:szCs w:val="21"/>
        </w:rPr>
      </w:pPr>
      <w:r w:rsidRPr="0033696E">
        <w:rPr>
          <w:sz w:val="21"/>
          <w:szCs w:val="21"/>
        </w:rPr>
        <w:t xml:space="preserve">Access for vulnerable populations (low income/uninsured/rural </w:t>
      </w:r>
      <w:r w:rsidR="009E1E13" w:rsidRPr="0033696E">
        <w:rPr>
          <w:sz w:val="21"/>
          <w:szCs w:val="21"/>
        </w:rPr>
        <w:t>communities</w:t>
      </w:r>
      <w:r w:rsidRPr="0033696E">
        <w:rPr>
          <w:sz w:val="21"/>
          <w:szCs w:val="21"/>
        </w:rPr>
        <w:t>/health equity) to obtain essential services</w:t>
      </w:r>
    </w:p>
    <w:p w:rsidR="004C5ED0" w:rsidRPr="0033696E" w:rsidRDefault="009E1E13" w:rsidP="0033696E">
      <w:pPr>
        <w:pStyle w:val="ListParagraph"/>
        <w:numPr>
          <w:ilvl w:val="2"/>
          <w:numId w:val="2"/>
        </w:numPr>
        <w:spacing w:after="0"/>
        <w:rPr>
          <w:sz w:val="21"/>
          <w:szCs w:val="21"/>
        </w:rPr>
      </w:pPr>
      <w:r w:rsidRPr="0033696E">
        <w:rPr>
          <w:sz w:val="21"/>
          <w:szCs w:val="21"/>
        </w:rPr>
        <w:t>E.g.,</w:t>
      </w:r>
      <w:r w:rsidR="004C5ED0" w:rsidRPr="0033696E">
        <w:rPr>
          <w:sz w:val="21"/>
          <w:szCs w:val="21"/>
        </w:rPr>
        <w:t xml:space="preserve"> community paramedicine program, telehealth, remote patient monitoring, and integrating mental health</w:t>
      </w:r>
    </w:p>
    <w:p w:rsidR="004C5ED0" w:rsidRPr="0033696E" w:rsidRDefault="004C5ED0" w:rsidP="0033696E">
      <w:pPr>
        <w:pStyle w:val="ListParagraph"/>
        <w:numPr>
          <w:ilvl w:val="2"/>
          <w:numId w:val="2"/>
        </w:numPr>
        <w:spacing w:after="0"/>
        <w:rPr>
          <w:i/>
          <w:sz w:val="21"/>
          <w:szCs w:val="21"/>
        </w:rPr>
      </w:pPr>
      <w:r w:rsidRPr="0033696E">
        <w:rPr>
          <w:i/>
          <w:sz w:val="21"/>
          <w:szCs w:val="21"/>
        </w:rPr>
        <w:t>Will fund evaluation and infrastructure but not purchasing services</w:t>
      </w:r>
    </w:p>
    <w:p w:rsidR="004C5ED0" w:rsidRPr="0033696E" w:rsidRDefault="004C5ED0" w:rsidP="004C5ED0">
      <w:pPr>
        <w:numPr>
          <w:ilvl w:val="0"/>
          <w:numId w:val="2"/>
        </w:numPr>
        <w:spacing w:after="0"/>
        <w:rPr>
          <w:sz w:val="21"/>
          <w:szCs w:val="21"/>
        </w:rPr>
      </w:pPr>
      <w:r w:rsidRPr="0033696E">
        <w:rPr>
          <w:sz w:val="21"/>
          <w:szCs w:val="21"/>
        </w:rPr>
        <w:t>Maternal and Infant Health</w:t>
      </w:r>
    </w:p>
    <w:p w:rsidR="004C5ED0" w:rsidRPr="0033696E" w:rsidRDefault="004C5ED0" w:rsidP="004C5ED0">
      <w:pPr>
        <w:numPr>
          <w:ilvl w:val="1"/>
          <w:numId w:val="2"/>
        </w:numPr>
        <w:spacing w:after="0"/>
        <w:rPr>
          <w:sz w:val="21"/>
          <w:szCs w:val="21"/>
        </w:rPr>
      </w:pPr>
      <w:r w:rsidRPr="0033696E">
        <w:rPr>
          <w:sz w:val="21"/>
          <w:szCs w:val="21"/>
        </w:rPr>
        <w:t>Rural Maternity Care</w:t>
      </w:r>
    </w:p>
    <w:p w:rsidR="004C5ED0" w:rsidRPr="0033696E" w:rsidRDefault="004C5ED0" w:rsidP="004C5ED0">
      <w:pPr>
        <w:numPr>
          <w:ilvl w:val="1"/>
          <w:numId w:val="2"/>
        </w:numPr>
        <w:spacing w:after="0"/>
        <w:rPr>
          <w:sz w:val="21"/>
          <w:szCs w:val="21"/>
        </w:rPr>
      </w:pPr>
      <w:r w:rsidRPr="0033696E">
        <w:rPr>
          <w:sz w:val="21"/>
          <w:szCs w:val="21"/>
        </w:rPr>
        <w:t>Programs that help the 0-8 population get a healthy start</w:t>
      </w:r>
    </w:p>
    <w:p w:rsidR="004C5ED0" w:rsidRPr="0033696E" w:rsidRDefault="004C5ED0" w:rsidP="000F2AAA">
      <w:pPr>
        <w:numPr>
          <w:ilvl w:val="0"/>
          <w:numId w:val="2"/>
        </w:numPr>
        <w:spacing w:after="0"/>
        <w:rPr>
          <w:sz w:val="21"/>
          <w:szCs w:val="21"/>
        </w:rPr>
      </w:pPr>
      <w:r w:rsidRPr="0033696E">
        <w:rPr>
          <w:sz w:val="21"/>
          <w:szCs w:val="21"/>
        </w:rPr>
        <w:t xml:space="preserve">Mental Health </w:t>
      </w:r>
    </w:p>
    <w:p w:rsidR="008A7323" w:rsidRPr="0033696E" w:rsidRDefault="008A7323" w:rsidP="0033696E">
      <w:pPr>
        <w:numPr>
          <w:ilvl w:val="1"/>
          <w:numId w:val="2"/>
        </w:numPr>
        <w:spacing w:after="0"/>
        <w:rPr>
          <w:sz w:val="21"/>
          <w:szCs w:val="21"/>
        </w:rPr>
      </w:pPr>
      <w:r w:rsidRPr="0033696E">
        <w:rPr>
          <w:sz w:val="21"/>
          <w:szCs w:val="21"/>
        </w:rPr>
        <w:t>Integrated Care</w:t>
      </w:r>
    </w:p>
    <w:p w:rsidR="008A7323" w:rsidRPr="0033696E" w:rsidRDefault="008A7323" w:rsidP="0033696E">
      <w:pPr>
        <w:numPr>
          <w:ilvl w:val="1"/>
          <w:numId w:val="2"/>
        </w:numPr>
        <w:spacing w:after="0"/>
        <w:rPr>
          <w:sz w:val="21"/>
          <w:szCs w:val="21"/>
        </w:rPr>
      </w:pPr>
      <w:r w:rsidRPr="0033696E">
        <w:rPr>
          <w:sz w:val="21"/>
          <w:szCs w:val="21"/>
        </w:rPr>
        <w:t>Youth Mental Health</w:t>
      </w:r>
    </w:p>
    <w:p w:rsidR="008A7323" w:rsidRPr="0033696E" w:rsidRDefault="008A7323" w:rsidP="0033696E">
      <w:pPr>
        <w:numPr>
          <w:ilvl w:val="1"/>
          <w:numId w:val="2"/>
        </w:numPr>
        <w:spacing w:after="0"/>
        <w:rPr>
          <w:sz w:val="21"/>
          <w:szCs w:val="21"/>
        </w:rPr>
      </w:pPr>
      <w:r w:rsidRPr="0033696E">
        <w:rPr>
          <w:sz w:val="21"/>
          <w:szCs w:val="21"/>
        </w:rPr>
        <w:t xml:space="preserve">Opioids: preventing addiction and helping impacted children (e.g., neonatal abstinence). </w:t>
      </w:r>
    </w:p>
    <w:p w:rsidR="00214A84" w:rsidRPr="0033696E" w:rsidRDefault="00214A84" w:rsidP="00214A84">
      <w:pPr>
        <w:pStyle w:val="ListParagraph"/>
        <w:numPr>
          <w:ilvl w:val="0"/>
          <w:numId w:val="2"/>
        </w:numPr>
        <w:spacing w:after="0"/>
        <w:rPr>
          <w:sz w:val="21"/>
          <w:szCs w:val="21"/>
        </w:rPr>
      </w:pPr>
      <w:r w:rsidRPr="0033696E">
        <w:rPr>
          <w:sz w:val="21"/>
          <w:szCs w:val="21"/>
        </w:rPr>
        <w:lastRenderedPageBreak/>
        <w:t>Oral Health</w:t>
      </w:r>
    </w:p>
    <w:p w:rsidR="00214A84" w:rsidRPr="0033696E" w:rsidRDefault="00214A84" w:rsidP="0033696E">
      <w:pPr>
        <w:pStyle w:val="ListParagraph"/>
        <w:spacing w:after="0"/>
        <w:ind w:left="839"/>
        <w:rPr>
          <w:sz w:val="21"/>
          <w:szCs w:val="21"/>
        </w:rPr>
      </w:pPr>
      <w:r w:rsidRPr="0033696E">
        <w:rPr>
          <w:sz w:val="21"/>
          <w:szCs w:val="21"/>
        </w:rPr>
        <w:t>-      Integrated Care</w:t>
      </w:r>
    </w:p>
    <w:p w:rsidR="008A7323" w:rsidRPr="0033696E" w:rsidRDefault="008A7323" w:rsidP="000F2AAA">
      <w:pPr>
        <w:numPr>
          <w:ilvl w:val="0"/>
          <w:numId w:val="2"/>
        </w:numPr>
        <w:spacing w:after="0"/>
        <w:rPr>
          <w:sz w:val="21"/>
          <w:szCs w:val="21"/>
        </w:rPr>
      </w:pPr>
      <w:r w:rsidRPr="0033696E">
        <w:rPr>
          <w:sz w:val="21"/>
          <w:szCs w:val="21"/>
        </w:rPr>
        <w:t xml:space="preserve">Population Health </w:t>
      </w:r>
    </w:p>
    <w:p w:rsidR="000F2AAA" w:rsidRPr="0033696E" w:rsidRDefault="000F2AAA" w:rsidP="0033696E">
      <w:pPr>
        <w:numPr>
          <w:ilvl w:val="1"/>
          <w:numId w:val="2"/>
        </w:numPr>
        <w:spacing w:after="0"/>
        <w:rPr>
          <w:sz w:val="21"/>
          <w:szCs w:val="21"/>
        </w:rPr>
      </w:pPr>
      <w:r w:rsidRPr="0033696E">
        <w:rPr>
          <w:sz w:val="21"/>
          <w:szCs w:val="21"/>
        </w:rPr>
        <w:t>Promote a healthy life that includes changing health behaviors and addressing SDOH (work could be within the health system or in partnership with community)</w:t>
      </w:r>
    </w:p>
    <w:p w:rsidR="000F2AAA" w:rsidRPr="0033696E" w:rsidRDefault="000F2AAA" w:rsidP="0033696E">
      <w:pPr>
        <w:pStyle w:val="ListParagraph"/>
        <w:numPr>
          <w:ilvl w:val="1"/>
          <w:numId w:val="2"/>
        </w:numPr>
        <w:spacing w:after="0"/>
        <w:rPr>
          <w:sz w:val="21"/>
          <w:szCs w:val="21"/>
        </w:rPr>
      </w:pPr>
      <w:r w:rsidRPr="0033696E">
        <w:rPr>
          <w:sz w:val="21"/>
          <w:szCs w:val="21"/>
        </w:rPr>
        <w:t>A focus is on food insecurity</w:t>
      </w:r>
      <w:r w:rsidR="008A7323" w:rsidRPr="0033696E">
        <w:rPr>
          <w:sz w:val="21"/>
          <w:szCs w:val="21"/>
        </w:rPr>
        <w:t xml:space="preserve"> and</w:t>
      </w:r>
      <w:r w:rsidR="0006192A">
        <w:rPr>
          <w:sz w:val="21"/>
          <w:szCs w:val="21"/>
        </w:rPr>
        <w:t>/or</w:t>
      </w:r>
      <w:r w:rsidR="008A7323" w:rsidRPr="0033696E">
        <w:rPr>
          <w:sz w:val="21"/>
          <w:szCs w:val="21"/>
        </w:rPr>
        <w:t xml:space="preserve"> social isolation</w:t>
      </w:r>
    </w:p>
    <w:p w:rsidR="000F2AAA" w:rsidRPr="0033696E" w:rsidRDefault="008A7323" w:rsidP="0033696E">
      <w:pPr>
        <w:numPr>
          <w:ilvl w:val="2"/>
          <w:numId w:val="2"/>
        </w:numPr>
        <w:spacing w:after="0"/>
        <w:rPr>
          <w:sz w:val="21"/>
          <w:szCs w:val="21"/>
        </w:rPr>
      </w:pPr>
      <w:r w:rsidRPr="0033696E">
        <w:rPr>
          <w:sz w:val="21"/>
          <w:szCs w:val="21"/>
        </w:rPr>
        <w:t>E.g., p</w:t>
      </w:r>
      <w:r w:rsidR="000F2AAA" w:rsidRPr="0033696E">
        <w:rPr>
          <w:sz w:val="21"/>
          <w:szCs w:val="21"/>
        </w:rPr>
        <w:t xml:space="preserve">rojects addressing nutrition, physical activity, or tobacco cessation. </w:t>
      </w:r>
    </w:p>
    <w:p w:rsidR="000F2AAA" w:rsidRPr="0033696E" w:rsidRDefault="000F2AAA" w:rsidP="001E252B">
      <w:pPr>
        <w:numPr>
          <w:ilvl w:val="2"/>
          <w:numId w:val="2"/>
        </w:numPr>
        <w:spacing w:after="0"/>
        <w:rPr>
          <w:i/>
          <w:iCs/>
          <w:sz w:val="21"/>
          <w:szCs w:val="21"/>
        </w:rPr>
      </w:pPr>
      <w:r w:rsidRPr="0033696E">
        <w:rPr>
          <w:i/>
          <w:iCs/>
          <w:sz w:val="21"/>
          <w:szCs w:val="21"/>
        </w:rPr>
        <w:t>Ineligible budget items include purchasing food, covering housing costs, or purchasing services.</w:t>
      </w:r>
    </w:p>
    <w:p w:rsidR="008A7323" w:rsidRPr="0033696E" w:rsidRDefault="008A7323" w:rsidP="0033696E">
      <w:pPr>
        <w:pStyle w:val="ListParagraph"/>
        <w:numPr>
          <w:ilvl w:val="0"/>
          <w:numId w:val="2"/>
        </w:numPr>
        <w:spacing w:after="0"/>
        <w:rPr>
          <w:sz w:val="21"/>
          <w:szCs w:val="21"/>
        </w:rPr>
      </w:pPr>
      <w:r w:rsidRPr="0033696E">
        <w:rPr>
          <w:sz w:val="21"/>
          <w:szCs w:val="21"/>
        </w:rPr>
        <w:t>Workforce Development</w:t>
      </w:r>
    </w:p>
    <w:p w:rsidR="008A7323" w:rsidRPr="0033696E" w:rsidRDefault="008A7323" w:rsidP="0033696E">
      <w:pPr>
        <w:pStyle w:val="ListParagraph"/>
        <w:numPr>
          <w:ilvl w:val="1"/>
          <w:numId w:val="2"/>
        </w:numPr>
        <w:spacing w:after="0"/>
        <w:rPr>
          <w:sz w:val="21"/>
          <w:szCs w:val="21"/>
        </w:rPr>
      </w:pPr>
      <w:r w:rsidRPr="0033696E">
        <w:rPr>
          <w:sz w:val="21"/>
          <w:szCs w:val="21"/>
        </w:rPr>
        <w:t>Community-based workforce (e.g., community health workers)</w:t>
      </w:r>
    </w:p>
    <w:p w:rsidR="008A7323" w:rsidRPr="0033696E" w:rsidRDefault="008A7323" w:rsidP="0033696E">
      <w:pPr>
        <w:pStyle w:val="ListParagraph"/>
        <w:numPr>
          <w:ilvl w:val="1"/>
          <w:numId w:val="2"/>
        </w:numPr>
        <w:spacing w:after="0"/>
        <w:rPr>
          <w:sz w:val="21"/>
          <w:szCs w:val="21"/>
        </w:rPr>
      </w:pPr>
      <w:r w:rsidRPr="0033696E">
        <w:rPr>
          <w:sz w:val="21"/>
          <w:szCs w:val="21"/>
        </w:rPr>
        <w:t>Diversifying the workforce</w:t>
      </w:r>
    </w:p>
    <w:p w:rsidR="008A7323" w:rsidRPr="0033696E" w:rsidRDefault="008A7323" w:rsidP="0033696E">
      <w:pPr>
        <w:pStyle w:val="ListParagraph"/>
        <w:numPr>
          <w:ilvl w:val="1"/>
          <w:numId w:val="2"/>
        </w:numPr>
        <w:spacing w:after="0"/>
        <w:rPr>
          <w:sz w:val="21"/>
          <w:szCs w:val="21"/>
        </w:rPr>
      </w:pPr>
      <w:r w:rsidRPr="0033696E">
        <w:rPr>
          <w:sz w:val="21"/>
          <w:szCs w:val="21"/>
        </w:rPr>
        <w:t>Strengthening and addressing workforce needs (e.g., burnout)</w:t>
      </w:r>
    </w:p>
    <w:p w:rsidR="008A7323" w:rsidRPr="0033696E" w:rsidRDefault="000F2AAA" w:rsidP="0033696E">
      <w:pPr>
        <w:pStyle w:val="ListParagraph"/>
        <w:numPr>
          <w:ilvl w:val="0"/>
          <w:numId w:val="2"/>
        </w:numPr>
        <w:rPr>
          <w:sz w:val="21"/>
          <w:szCs w:val="21"/>
        </w:rPr>
      </w:pPr>
      <w:r w:rsidRPr="0033696E">
        <w:rPr>
          <w:sz w:val="21"/>
          <w:szCs w:val="21"/>
        </w:rPr>
        <w:t>Artificial Intelligence/Machine Learning</w:t>
      </w:r>
    </w:p>
    <w:p w:rsidR="000F2AAA" w:rsidRPr="0033696E" w:rsidRDefault="000F2AAA" w:rsidP="0033696E">
      <w:pPr>
        <w:pStyle w:val="ListParagraph"/>
        <w:numPr>
          <w:ilvl w:val="1"/>
          <w:numId w:val="2"/>
        </w:numPr>
        <w:rPr>
          <w:sz w:val="21"/>
          <w:szCs w:val="21"/>
        </w:rPr>
      </w:pPr>
      <w:r w:rsidRPr="0033696E">
        <w:rPr>
          <w:sz w:val="21"/>
          <w:szCs w:val="21"/>
        </w:rPr>
        <w:t>Projects must show how AI/</w:t>
      </w:r>
      <w:bookmarkStart w:id="0" w:name="_GoBack"/>
      <w:bookmarkEnd w:id="0"/>
      <w:r w:rsidRPr="0033696E">
        <w:rPr>
          <w:sz w:val="21"/>
          <w:szCs w:val="21"/>
        </w:rPr>
        <w:t>ML will be u</w:t>
      </w:r>
      <w:r w:rsidR="001E252B" w:rsidRPr="0033696E">
        <w:rPr>
          <w:sz w:val="21"/>
          <w:szCs w:val="21"/>
        </w:rPr>
        <w:t>sed to improve patient outcomes</w:t>
      </w:r>
    </w:p>
    <w:p w:rsidR="000F2AAA" w:rsidRPr="0033696E" w:rsidRDefault="000F2AAA" w:rsidP="000F2AAA">
      <w:pPr>
        <w:spacing w:after="0"/>
        <w:rPr>
          <w:sz w:val="21"/>
          <w:szCs w:val="21"/>
        </w:rPr>
      </w:pPr>
    </w:p>
    <w:p w:rsidR="000F2AAA" w:rsidRPr="009E1E13" w:rsidRDefault="000F2AAA" w:rsidP="000F2AAA">
      <w:pPr>
        <w:spacing w:after="0"/>
        <w:rPr>
          <w:i/>
          <w:iCs/>
          <w:sz w:val="22"/>
          <w:szCs w:val="22"/>
        </w:rPr>
      </w:pPr>
    </w:p>
    <w:p w:rsidR="009E1E13" w:rsidRPr="001E252B" w:rsidRDefault="009E1E13" w:rsidP="001E252B">
      <w:pPr>
        <w:rPr>
          <w:color w:val="0563C1" w:themeColor="hyperlink"/>
          <w:sz w:val="22"/>
          <w:szCs w:val="22"/>
          <w:u w:val="single"/>
        </w:rPr>
      </w:pPr>
      <w:r>
        <w:rPr>
          <w:rStyle w:val="Hyperlink"/>
          <w:sz w:val="22"/>
          <w:szCs w:val="22"/>
        </w:rPr>
        <w:br w:type="page"/>
      </w:r>
    </w:p>
    <w:p w:rsidR="005A7E50" w:rsidRDefault="00885DBC" w:rsidP="00410EEB">
      <w:pPr>
        <w:rPr>
          <w:noProof/>
        </w:rPr>
      </w:pPr>
      <w:r>
        <w:rPr>
          <w:noProof/>
        </w:rPr>
        <w:lastRenderedPageBreak/>
        <w:t xml:space="preserve">                                                         </w:t>
      </w:r>
      <w:r w:rsidR="00410EEB">
        <w:rPr>
          <w:noProof/>
        </w:rPr>
        <w:drawing>
          <wp:inline distT="0" distB="0" distL="0" distR="0" wp14:anchorId="3779EE35" wp14:editId="0F2B9D2B">
            <wp:extent cx="2477386" cy="712349"/>
            <wp:effectExtent l="0" t="0" r="0" b="0"/>
            <wp:docPr id="1" name="Picture 1" descr="The Duke Endow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uke Endow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893" cy="725722"/>
                    </a:xfrm>
                    <a:prstGeom prst="rect">
                      <a:avLst/>
                    </a:prstGeom>
                    <a:noFill/>
                    <a:ln>
                      <a:noFill/>
                    </a:ln>
                  </pic:spPr>
                </pic:pic>
              </a:graphicData>
            </a:graphic>
          </wp:inline>
        </w:drawing>
      </w:r>
    </w:p>
    <w:p w:rsidR="00134F94" w:rsidRPr="00134F94" w:rsidRDefault="00134F94" w:rsidP="00134F94">
      <w:pPr>
        <w:jc w:val="center"/>
        <w:rPr>
          <w:b/>
          <w:bCs/>
          <w:noProof/>
          <w:u w:val="single"/>
        </w:rPr>
      </w:pPr>
      <w:r w:rsidRPr="00134F94">
        <w:rPr>
          <w:b/>
          <w:bCs/>
          <w:noProof/>
          <w:u w:val="single"/>
        </w:rPr>
        <w:t>The below process is for faculty based in the Triad market. Faculty in the greater Charlotte market should contact Rachel Ellis (</w:t>
      </w:r>
      <w:hyperlink r:id="rId11" w:history="1">
        <w:r w:rsidRPr="00134F94">
          <w:rPr>
            <w:rStyle w:val="Hyperlink"/>
            <w:b/>
            <w:bCs/>
            <w:noProof/>
          </w:rPr>
          <w:t>Rachel.Ellis@atriumhealth.org</w:t>
        </w:r>
      </w:hyperlink>
      <w:r w:rsidRPr="00134F94">
        <w:rPr>
          <w:b/>
          <w:bCs/>
          <w:noProof/>
          <w:u w:val="single"/>
        </w:rPr>
        <w:t>).</w:t>
      </w:r>
    </w:p>
    <w:p w:rsidR="00410EEB" w:rsidRDefault="00410EEB" w:rsidP="00410EEB">
      <w:pPr>
        <w:jc w:val="center"/>
        <w:rPr>
          <w:sz w:val="28"/>
          <w:szCs w:val="28"/>
        </w:rPr>
      </w:pPr>
      <w:r w:rsidRPr="00410EEB">
        <w:rPr>
          <w:sz w:val="28"/>
          <w:szCs w:val="28"/>
        </w:rPr>
        <w:t>Health Care Concept Proposal</w:t>
      </w:r>
    </w:p>
    <w:p w:rsidR="00410EEB" w:rsidRDefault="00410EEB" w:rsidP="00410EEB">
      <w:r>
        <w:t xml:space="preserve">The Duke Endowment is piloting a concept proposal process </w:t>
      </w:r>
      <w:r w:rsidR="00A63B92">
        <w:t>to help our grantees identify the projects that may offer the best fit with o</w:t>
      </w:r>
      <w:r w:rsidR="000D2DCE">
        <w:t xml:space="preserve">ur current funding priorities. </w:t>
      </w:r>
    </w:p>
    <w:p w:rsidR="000D2DCE" w:rsidRPr="00FB45B7" w:rsidRDefault="000D2DCE" w:rsidP="00410EEB">
      <w:pPr>
        <w:rPr>
          <w:i/>
          <w:sz w:val="22"/>
          <w:szCs w:val="22"/>
        </w:rPr>
      </w:pPr>
      <w:r w:rsidRPr="00FB45B7">
        <w:rPr>
          <w:i/>
          <w:sz w:val="22"/>
          <w:szCs w:val="22"/>
        </w:rPr>
        <w:t xml:space="preserve">Please note: All projects funded in the </w:t>
      </w:r>
      <w:r w:rsidR="00522380">
        <w:rPr>
          <w:i/>
          <w:sz w:val="22"/>
          <w:szCs w:val="22"/>
        </w:rPr>
        <w:t>June 15, 2023</w:t>
      </w:r>
      <w:r w:rsidRPr="00FB45B7">
        <w:rPr>
          <w:i/>
          <w:sz w:val="22"/>
          <w:szCs w:val="22"/>
        </w:rPr>
        <w:t xml:space="preserve"> cycle will have a </w:t>
      </w:r>
      <w:r w:rsidR="00522380">
        <w:rPr>
          <w:i/>
          <w:sz w:val="22"/>
          <w:szCs w:val="22"/>
        </w:rPr>
        <w:t>January 1, 2024</w:t>
      </w:r>
      <w:r w:rsidRPr="00FB45B7">
        <w:rPr>
          <w:i/>
          <w:sz w:val="22"/>
          <w:szCs w:val="22"/>
        </w:rPr>
        <w:t xml:space="preserve"> start date, and all applications are submitted under the “Wake Forest University Health Sciences” legal entity.</w:t>
      </w:r>
    </w:p>
    <w:p w:rsidR="00410EEB" w:rsidRDefault="00410EEB" w:rsidP="00DE04F3">
      <w:r>
        <w:t xml:space="preserve">Organization Name: </w:t>
      </w:r>
      <w:sdt>
        <w:sdtPr>
          <w:id w:val="-145593807"/>
          <w:placeholder>
            <w:docPart w:val="DefaultPlaceholder_-1854013440"/>
          </w:placeholder>
          <w:text/>
        </w:sdtPr>
        <w:sdtEndPr/>
        <w:sdtContent>
          <w:r w:rsidR="005E4C5B">
            <w:t>Wake Forest University Health Sciences</w:t>
          </w:r>
        </w:sdtContent>
      </w:sdt>
    </w:p>
    <w:p w:rsidR="00410EEB" w:rsidRDefault="00410EEB" w:rsidP="00410EEB">
      <w:r>
        <w:t xml:space="preserve">Contact Person: </w:t>
      </w:r>
      <w:sdt>
        <w:sdtPr>
          <w:id w:val="1684555703"/>
          <w:placeholder>
            <w:docPart w:val="DefaultPlaceholder_-1854013440"/>
          </w:placeholder>
          <w:showingPlcHdr/>
          <w:text/>
        </w:sdtPr>
        <w:sdtEndPr/>
        <w:sdtContent>
          <w:r w:rsidR="00C92F0A" w:rsidRPr="00D55323">
            <w:rPr>
              <w:rStyle w:val="PlaceholderText"/>
            </w:rPr>
            <w:t>Click or tap here to enter text.</w:t>
          </w:r>
        </w:sdtContent>
      </w:sdt>
    </w:p>
    <w:p w:rsidR="00410EEB" w:rsidRDefault="00410EEB" w:rsidP="00410EEB">
      <w:r>
        <w:t xml:space="preserve">Email Address: </w:t>
      </w:r>
      <w:sdt>
        <w:sdtPr>
          <w:id w:val="-1300213981"/>
          <w:placeholder>
            <w:docPart w:val="DefaultPlaceholder_-1854013440"/>
          </w:placeholder>
          <w:showingPlcHdr/>
          <w:text/>
        </w:sdtPr>
        <w:sdtEndPr/>
        <w:sdtContent>
          <w:r w:rsidR="0051474D" w:rsidRPr="00D55323">
            <w:rPr>
              <w:rStyle w:val="PlaceholderText"/>
            </w:rPr>
            <w:t>Click or tap here to enter text.</w:t>
          </w:r>
        </w:sdtContent>
      </w:sdt>
    </w:p>
    <w:p w:rsidR="00410EEB" w:rsidRDefault="00410EEB" w:rsidP="00410EEB">
      <w:r>
        <w:t xml:space="preserve">Project Start Date: </w:t>
      </w:r>
      <w:sdt>
        <w:sdtPr>
          <w:id w:val="2135365486"/>
          <w:placeholder>
            <w:docPart w:val="DefaultPlaceholder_-1854013437"/>
          </w:placeholder>
          <w:date w:fullDate="2024-01-01T00:00:00Z">
            <w:dateFormat w:val="M/d/yyyy"/>
            <w:lid w:val="en-US"/>
            <w:storeMappedDataAs w:val="dateTime"/>
            <w:calendar w:val="gregorian"/>
          </w:date>
        </w:sdtPr>
        <w:sdtEndPr/>
        <w:sdtContent>
          <w:r w:rsidR="00522380">
            <w:t>1/1/2024</w:t>
          </w:r>
        </w:sdtContent>
      </w:sdt>
    </w:p>
    <w:p w:rsidR="00410EEB" w:rsidRDefault="00410EEB" w:rsidP="00410EEB">
      <w:r>
        <w:t xml:space="preserve">Project End Date: </w:t>
      </w:r>
      <w:sdt>
        <w:sdtPr>
          <w:id w:val="1635914256"/>
          <w:placeholder>
            <w:docPart w:val="DefaultPlaceholder_-1854013437"/>
          </w:placeholder>
          <w:showingPlcHdr/>
          <w:date>
            <w:dateFormat w:val="M/d/yyyy"/>
            <w:lid w:val="en-US"/>
            <w:storeMappedDataAs w:val="dateTime"/>
            <w:calendar w:val="gregorian"/>
          </w:date>
        </w:sdtPr>
        <w:sdtEndPr/>
        <w:sdtContent>
          <w:r w:rsidR="003D0490" w:rsidRPr="00D55323">
            <w:rPr>
              <w:rStyle w:val="PlaceholderText"/>
            </w:rPr>
            <w:t>Click or tap to enter a date.</w:t>
          </w:r>
        </w:sdtContent>
      </w:sdt>
    </w:p>
    <w:p w:rsidR="00410EEB" w:rsidRDefault="00410EEB" w:rsidP="00410EEB">
      <w:r>
        <w:t xml:space="preserve">Total estimated project cost: </w:t>
      </w:r>
      <w:sdt>
        <w:sdtPr>
          <w:id w:val="16739779"/>
          <w:placeholder>
            <w:docPart w:val="DefaultPlaceholder_-1854013440"/>
          </w:placeholder>
          <w:showingPlcHdr/>
          <w:text/>
        </w:sdtPr>
        <w:sdtEndPr/>
        <w:sdtContent>
          <w:r w:rsidR="003D0490" w:rsidRPr="00D55323">
            <w:rPr>
              <w:rStyle w:val="PlaceholderText"/>
            </w:rPr>
            <w:t>Click or tap here to enter text.</w:t>
          </w:r>
        </w:sdtContent>
      </w:sdt>
    </w:p>
    <w:p w:rsidR="00410EEB" w:rsidRDefault="00410EEB" w:rsidP="00410EEB">
      <w:r>
        <w:t xml:space="preserve">Total requested for the project you are proposing: </w:t>
      </w:r>
      <w:sdt>
        <w:sdtPr>
          <w:id w:val="-1561789706"/>
          <w:placeholder>
            <w:docPart w:val="DefaultPlaceholder_-1854013440"/>
          </w:placeholder>
          <w:showingPlcHdr/>
          <w:text/>
        </w:sdtPr>
        <w:sdtEndPr/>
        <w:sdtContent>
          <w:r w:rsidR="008E0441" w:rsidRPr="00D55323">
            <w:rPr>
              <w:rStyle w:val="PlaceholderText"/>
            </w:rPr>
            <w:t>Click or tap here to enter text.</w:t>
          </w:r>
        </w:sdtContent>
      </w:sdt>
    </w:p>
    <w:p w:rsidR="0032393A" w:rsidRDefault="00410EEB" w:rsidP="00410EEB">
      <w:r>
        <w:t>Project Title:</w:t>
      </w:r>
      <w:r w:rsidR="00AA2845">
        <w:t xml:space="preserve"> </w:t>
      </w:r>
      <w:sdt>
        <w:sdtPr>
          <w:id w:val="976814135"/>
          <w:placeholder>
            <w:docPart w:val="DefaultPlaceholder_-1854013440"/>
          </w:placeholder>
          <w:showingPlcHdr/>
          <w:text/>
        </w:sdtPr>
        <w:sdtEndPr/>
        <w:sdtContent>
          <w:r w:rsidR="00AA2845" w:rsidRPr="00D55323">
            <w:rPr>
              <w:rStyle w:val="PlaceholderText"/>
            </w:rPr>
            <w:t>Click or tap here to enter text.</w:t>
          </w:r>
        </w:sdtContent>
      </w:sdt>
    </w:p>
    <w:p w:rsidR="00732F27" w:rsidRPr="000F2AAA" w:rsidRDefault="00732F27" w:rsidP="00410EEB">
      <w:pPr>
        <w:rPr>
          <w:sz w:val="16"/>
          <w:szCs w:val="16"/>
        </w:rPr>
      </w:pPr>
    </w:p>
    <w:p w:rsidR="00410EEB" w:rsidRDefault="00410EEB" w:rsidP="00410EEB">
      <w:r>
        <w:t>Background</w:t>
      </w:r>
    </w:p>
    <w:p w:rsidR="00410EEB" w:rsidRDefault="00410EEB" w:rsidP="00410EEB">
      <w:pPr>
        <w:pStyle w:val="ListParagraph"/>
        <w:numPr>
          <w:ilvl w:val="0"/>
          <w:numId w:val="1"/>
        </w:numPr>
      </w:pPr>
      <w:r>
        <w:t>What need will this project address</w:t>
      </w:r>
      <w:r w:rsidR="0035407C">
        <w:t xml:space="preserve"> (</w:t>
      </w:r>
      <w:r w:rsidR="0035407C" w:rsidRPr="00FB45B7">
        <w:rPr>
          <w:b/>
        </w:rPr>
        <w:t>100 words max</w:t>
      </w:r>
      <w:r w:rsidR="0035407C">
        <w:t>)</w:t>
      </w:r>
      <w:r>
        <w:t>?</w:t>
      </w:r>
    </w:p>
    <w:sdt>
      <w:sdtPr>
        <w:id w:val="-625854742"/>
        <w:placeholder>
          <w:docPart w:val="DefaultPlaceholder_-1854013440"/>
        </w:placeholder>
        <w:showingPlcHdr/>
        <w:text/>
      </w:sdtPr>
      <w:sdtEndPr/>
      <w:sdtContent>
        <w:p w:rsidR="00410EEB" w:rsidRDefault="007D7885" w:rsidP="008A792F">
          <w:pPr>
            <w:ind w:left="720"/>
          </w:pPr>
          <w:r w:rsidRPr="00D55323">
            <w:rPr>
              <w:rStyle w:val="PlaceholderText"/>
            </w:rPr>
            <w:t>Click or tap here to enter text.</w:t>
          </w:r>
        </w:p>
      </w:sdtContent>
    </w:sdt>
    <w:p w:rsidR="0032393A" w:rsidRDefault="0032393A" w:rsidP="00732F27"/>
    <w:p w:rsidR="00410EEB" w:rsidRDefault="00410EEB" w:rsidP="00410EEB">
      <w:pPr>
        <w:pStyle w:val="ListParagraph"/>
        <w:numPr>
          <w:ilvl w:val="0"/>
          <w:numId w:val="1"/>
        </w:numPr>
      </w:pPr>
      <w:r w:rsidRPr="00410EEB">
        <w:t>Does this project target a specific age group, race/ethnicity, sex, economically disadvantaged population, or demographic region</w:t>
      </w:r>
      <w:r w:rsidR="0035407C">
        <w:t xml:space="preserve"> (</w:t>
      </w:r>
      <w:r w:rsidR="0035407C" w:rsidRPr="00FB45B7">
        <w:rPr>
          <w:b/>
        </w:rPr>
        <w:t>50 words max</w:t>
      </w:r>
      <w:r w:rsidR="0035407C">
        <w:t>)</w:t>
      </w:r>
      <w:r w:rsidRPr="00410EEB">
        <w:t>? </w:t>
      </w:r>
    </w:p>
    <w:sdt>
      <w:sdtPr>
        <w:id w:val="-1155061886"/>
        <w:placeholder>
          <w:docPart w:val="DefaultPlaceholder_-1854013440"/>
        </w:placeholder>
        <w:showingPlcHdr/>
        <w:text/>
      </w:sdtPr>
      <w:sdtEndPr/>
      <w:sdtContent>
        <w:p w:rsidR="00882324" w:rsidRDefault="007D7885" w:rsidP="00732F27">
          <w:pPr>
            <w:ind w:left="720"/>
          </w:pPr>
          <w:r w:rsidRPr="00D55323">
            <w:rPr>
              <w:rStyle w:val="PlaceholderText"/>
            </w:rPr>
            <w:t>Click or tap here to enter text.</w:t>
          </w:r>
        </w:p>
      </w:sdtContent>
    </w:sdt>
    <w:p w:rsidR="00732F27" w:rsidRPr="000F2AAA" w:rsidRDefault="00732F27" w:rsidP="00410EEB">
      <w:pPr>
        <w:rPr>
          <w:sz w:val="16"/>
          <w:szCs w:val="16"/>
        </w:rPr>
      </w:pPr>
    </w:p>
    <w:p w:rsidR="00410EEB" w:rsidRDefault="00410EEB" w:rsidP="00410EEB">
      <w:r>
        <w:t>Project Activitie</w:t>
      </w:r>
      <w:r w:rsidR="00A63B92">
        <w:t>s</w:t>
      </w:r>
    </w:p>
    <w:p w:rsidR="00410EEB" w:rsidRDefault="00521208" w:rsidP="00410EEB">
      <w:pPr>
        <w:pStyle w:val="ListParagraph"/>
        <w:numPr>
          <w:ilvl w:val="0"/>
          <w:numId w:val="1"/>
        </w:numPr>
      </w:pPr>
      <w:r>
        <w:t>Describe your proposed project</w:t>
      </w:r>
      <w:r w:rsidR="00A63B92">
        <w:t xml:space="preserve"> and intended outcomes</w:t>
      </w:r>
      <w:r w:rsidR="0035407C">
        <w:t xml:space="preserve"> (</w:t>
      </w:r>
      <w:r w:rsidR="0035407C" w:rsidRPr="00FB45B7">
        <w:rPr>
          <w:b/>
        </w:rPr>
        <w:t>300 words max</w:t>
      </w:r>
      <w:r w:rsidR="0035407C">
        <w:t>)</w:t>
      </w:r>
      <w:r>
        <w:t>.</w:t>
      </w:r>
    </w:p>
    <w:p w:rsidR="00FB45B7" w:rsidRDefault="00FB45B7" w:rsidP="00FB45B7">
      <w:pPr>
        <w:pStyle w:val="ListParagraph"/>
      </w:pPr>
    </w:p>
    <w:sdt>
      <w:sdtPr>
        <w:id w:val="-1756348832"/>
        <w:placeholder>
          <w:docPart w:val="DefaultPlaceholder_-1854013440"/>
        </w:placeholder>
        <w:showingPlcHdr/>
        <w:text/>
      </w:sdtPr>
      <w:sdtEndPr/>
      <w:sdtContent>
        <w:p w:rsidR="00FF0C40" w:rsidRPr="00FF0C40" w:rsidRDefault="00FF0C40" w:rsidP="00732F27">
          <w:pPr>
            <w:pStyle w:val="ListParagraph"/>
          </w:pPr>
          <w:r w:rsidRPr="00D55323">
            <w:rPr>
              <w:rStyle w:val="PlaceholderText"/>
            </w:rPr>
            <w:t>Click or tap here to enter text.</w:t>
          </w:r>
        </w:p>
      </w:sdtContent>
    </w:sdt>
    <w:sectPr w:rsidR="00FF0C40" w:rsidRPr="00FF0C40" w:rsidSect="0033696E">
      <w:headerReference w:type="default" r:id="rId12"/>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F8" w:rsidRDefault="00E56DF8" w:rsidP="000F2AAA">
      <w:pPr>
        <w:spacing w:after="0" w:line="240" w:lineRule="auto"/>
      </w:pPr>
      <w:r>
        <w:separator/>
      </w:r>
    </w:p>
  </w:endnote>
  <w:endnote w:type="continuationSeparator" w:id="0">
    <w:p w:rsidR="00E56DF8" w:rsidRDefault="00E56DF8" w:rsidP="000F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F8" w:rsidRDefault="00E56DF8" w:rsidP="000F2AAA">
      <w:pPr>
        <w:spacing w:after="0" w:line="240" w:lineRule="auto"/>
      </w:pPr>
      <w:r>
        <w:separator/>
      </w:r>
    </w:p>
  </w:footnote>
  <w:footnote w:type="continuationSeparator" w:id="0">
    <w:p w:rsidR="00E56DF8" w:rsidRDefault="00E56DF8" w:rsidP="000F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AA" w:rsidRPr="000F2AAA" w:rsidRDefault="000F2AAA" w:rsidP="000F2AAA">
    <w:pPr>
      <w:pStyle w:val="Header"/>
      <w:jc w:val="center"/>
      <w:rPr>
        <w:b/>
        <w:bCs/>
      </w:rPr>
    </w:pPr>
    <w:r w:rsidRPr="000F2AAA">
      <w:rPr>
        <w:b/>
        <w:bCs/>
      </w:rPr>
      <w:t>The Duke Endowment</w:t>
    </w:r>
  </w:p>
  <w:p w:rsidR="000F2AAA" w:rsidRPr="000F2AAA" w:rsidRDefault="000F2AAA" w:rsidP="000F2AAA">
    <w:pPr>
      <w:pStyle w:val="Header"/>
      <w:jc w:val="center"/>
    </w:pPr>
    <w:r w:rsidRPr="000F2AAA">
      <w:t>Call for Health Care Concept Proposals</w:t>
    </w:r>
  </w:p>
  <w:p w:rsidR="000F2AAA" w:rsidRDefault="000F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AD6DD8E"/>
    <w:lvl w:ilvl="0">
      <w:start w:val="1"/>
      <w:numFmt w:val="decimal"/>
      <w:lvlText w:val="%1)"/>
      <w:lvlJc w:val="left"/>
      <w:pPr>
        <w:ind w:left="839" w:hanging="360"/>
      </w:pPr>
      <w:rPr>
        <w:rFonts w:ascii="Times New Roman" w:hAnsi="Times New Roman" w:cs="Times New Roman" w:hint="default"/>
        <w:b w:val="0"/>
        <w:bCs w:val="0"/>
        <w:spacing w:val="-1"/>
        <w:w w:val="99"/>
        <w:sz w:val="22"/>
        <w:szCs w:val="22"/>
      </w:rPr>
    </w:lvl>
    <w:lvl w:ilvl="1">
      <w:numFmt w:val="bullet"/>
      <w:lvlText w:val="-"/>
      <w:lvlJc w:val="left"/>
      <w:pPr>
        <w:ind w:left="1199" w:hanging="360"/>
      </w:pPr>
      <w:rPr>
        <w:rFonts w:ascii="Calibri" w:hAnsi="Calibri" w:cs="Calibri"/>
        <w:b w:val="0"/>
        <w:bCs w:val="0"/>
        <w:w w:val="99"/>
        <w:sz w:val="20"/>
        <w:szCs w:val="20"/>
      </w:rPr>
    </w:lvl>
    <w:lvl w:ilvl="2">
      <w:numFmt w:val="bullet"/>
      <w:lvlText w:val="•"/>
      <w:lvlJc w:val="left"/>
      <w:pPr>
        <w:ind w:left="2291" w:hanging="360"/>
      </w:pPr>
    </w:lvl>
    <w:lvl w:ilvl="3">
      <w:numFmt w:val="bullet"/>
      <w:lvlText w:val="•"/>
      <w:lvlJc w:val="left"/>
      <w:pPr>
        <w:ind w:left="3382" w:hanging="360"/>
      </w:pPr>
    </w:lvl>
    <w:lvl w:ilvl="4">
      <w:numFmt w:val="bullet"/>
      <w:lvlText w:val="•"/>
      <w:lvlJc w:val="left"/>
      <w:pPr>
        <w:ind w:left="4473" w:hanging="360"/>
      </w:pPr>
    </w:lvl>
    <w:lvl w:ilvl="5">
      <w:numFmt w:val="bullet"/>
      <w:lvlText w:val="•"/>
      <w:lvlJc w:val="left"/>
      <w:pPr>
        <w:ind w:left="5564" w:hanging="360"/>
      </w:pPr>
    </w:lvl>
    <w:lvl w:ilvl="6">
      <w:numFmt w:val="bullet"/>
      <w:lvlText w:val="•"/>
      <w:lvlJc w:val="left"/>
      <w:pPr>
        <w:ind w:left="6655" w:hanging="360"/>
      </w:pPr>
    </w:lvl>
    <w:lvl w:ilvl="7">
      <w:numFmt w:val="bullet"/>
      <w:lvlText w:val="•"/>
      <w:lvlJc w:val="left"/>
      <w:pPr>
        <w:ind w:left="7746" w:hanging="360"/>
      </w:pPr>
    </w:lvl>
    <w:lvl w:ilvl="8">
      <w:numFmt w:val="bullet"/>
      <w:lvlText w:val="•"/>
      <w:lvlJc w:val="left"/>
      <w:pPr>
        <w:ind w:left="8837" w:hanging="360"/>
      </w:pPr>
    </w:lvl>
  </w:abstractNum>
  <w:abstractNum w:abstractNumId="1" w15:restartNumberingAfterBreak="0">
    <w:nsid w:val="00000405"/>
    <w:multiLevelType w:val="multilevel"/>
    <w:tmpl w:val="00000888"/>
    <w:lvl w:ilvl="0">
      <w:numFmt w:val="bullet"/>
      <w:lvlText w:val="-"/>
      <w:lvlJc w:val="left"/>
      <w:pPr>
        <w:ind w:left="1319" w:hanging="360"/>
      </w:pPr>
      <w:rPr>
        <w:rFonts w:ascii="Calibri" w:hAnsi="Calibri" w:cs="Calibri"/>
        <w:b w:val="0"/>
        <w:bCs w:val="0"/>
        <w:w w:val="98"/>
        <w:sz w:val="20"/>
        <w:szCs w:val="20"/>
      </w:rPr>
    </w:lvl>
    <w:lvl w:ilvl="1">
      <w:numFmt w:val="bullet"/>
      <w:lvlText w:val="•"/>
      <w:lvlJc w:val="left"/>
      <w:pPr>
        <w:ind w:left="2290" w:hanging="360"/>
      </w:pPr>
    </w:lvl>
    <w:lvl w:ilvl="2">
      <w:numFmt w:val="bullet"/>
      <w:lvlText w:val="•"/>
      <w:lvlJc w:val="left"/>
      <w:pPr>
        <w:ind w:left="3260" w:hanging="360"/>
      </w:pPr>
    </w:lvl>
    <w:lvl w:ilvl="3">
      <w:numFmt w:val="bullet"/>
      <w:lvlText w:val="•"/>
      <w:lvlJc w:val="left"/>
      <w:pPr>
        <w:ind w:left="4230" w:hanging="360"/>
      </w:pPr>
    </w:lvl>
    <w:lvl w:ilvl="4">
      <w:numFmt w:val="bullet"/>
      <w:lvlText w:val="•"/>
      <w:lvlJc w:val="left"/>
      <w:pPr>
        <w:ind w:left="5200" w:hanging="360"/>
      </w:pPr>
    </w:lvl>
    <w:lvl w:ilvl="5">
      <w:numFmt w:val="bullet"/>
      <w:lvlText w:val="•"/>
      <w:lvlJc w:val="left"/>
      <w:pPr>
        <w:ind w:left="6170" w:hanging="360"/>
      </w:pPr>
    </w:lvl>
    <w:lvl w:ilvl="6">
      <w:numFmt w:val="bullet"/>
      <w:lvlText w:val="•"/>
      <w:lvlJc w:val="left"/>
      <w:pPr>
        <w:ind w:left="7140" w:hanging="360"/>
      </w:pPr>
    </w:lvl>
    <w:lvl w:ilvl="7">
      <w:numFmt w:val="bullet"/>
      <w:lvlText w:val="•"/>
      <w:lvlJc w:val="left"/>
      <w:pPr>
        <w:ind w:left="8110" w:hanging="360"/>
      </w:pPr>
    </w:lvl>
    <w:lvl w:ilvl="8">
      <w:numFmt w:val="bullet"/>
      <w:lvlText w:val="•"/>
      <w:lvlJc w:val="left"/>
      <w:pPr>
        <w:ind w:left="9080" w:hanging="360"/>
      </w:pPr>
    </w:lvl>
  </w:abstractNum>
  <w:abstractNum w:abstractNumId="2" w15:restartNumberingAfterBreak="0">
    <w:nsid w:val="2A9552B4"/>
    <w:multiLevelType w:val="hybridMultilevel"/>
    <w:tmpl w:val="84C4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2MbIwMTEyMDYztjRU0lEKTi0uzszPAykwrQUAcXianSwAAAA="/>
  </w:docVars>
  <w:rsids>
    <w:rsidRoot w:val="00410EEB"/>
    <w:rsid w:val="0003127F"/>
    <w:rsid w:val="0006192A"/>
    <w:rsid w:val="00062567"/>
    <w:rsid w:val="000D2DCE"/>
    <w:rsid w:val="000F2AAA"/>
    <w:rsid w:val="001266FF"/>
    <w:rsid w:val="00134F94"/>
    <w:rsid w:val="001712D3"/>
    <w:rsid w:val="001E252B"/>
    <w:rsid w:val="00214A84"/>
    <w:rsid w:val="00215ED7"/>
    <w:rsid w:val="00242D3F"/>
    <w:rsid w:val="002F6E14"/>
    <w:rsid w:val="0032393A"/>
    <w:rsid w:val="0033696E"/>
    <w:rsid w:val="0035407C"/>
    <w:rsid w:val="003941DE"/>
    <w:rsid w:val="003A7A2E"/>
    <w:rsid w:val="003B4906"/>
    <w:rsid w:val="003D0490"/>
    <w:rsid w:val="003F010C"/>
    <w:rsid w:val="00410EEB"/>
    <w:rsid w:val="004C17B3"/>
    <w:rsid w:val="004C5ED0"/>
    <w:rsid w:val="0051474D"/>
    <w:rsid w:val="0051649E"/>
    <w:rsid w:val="0051769E"/>
    <w:rsid w:val="00521208"/>
    <w:rsid w:val="00522380"/>
    <w:rsid w:val="00527ED9"/>
    <w:rsid w:val="005A7E50"/>
    <w:rsid w:val="005B7315"/>
    <w:rsid w:val="005C660C"/>
    <w:rsid w:val="005E33FA"/>
    <w:rsid w:val="005E4C5B"/>
    <w:rsid w:val="006C22BF"/>
    <w:rsid w:val="006C5F7C"/>
    <w:rsid w:val="006D2C4A"/>
    <w:rsid w:val="00730627"/>
    <w:rsid w:val="00732F27"/>
    <w:rsid w:val="0076455C"/>
    <w:rsid w:val="0079513C"/>
    <w:rsid w:val="007D7885"/>
    <w:rsid w:val="0083289D"/>
    <w:rsid w:val="00882324"/>
    <w:rsid w:val="00885DBC"/>
    <w:rsid w:val="008A7323"/>
    <w:rsid w:val="008A792F"/>
    <w:rsid w:val="008E0441"/>
    <w:rsid w:val="00924A21"/>
    <w:rsid w:val="009C2310"/>
    <w:rsid w:val="009E05F7"/>
    <w:rsid w:val="009E1E13"/>
    <w:rsid w:val="009F26CF"/>
    <w:rsid w:val="00A63B92"/>
    <w:rsid w:val="00A941D6"/>
    <w:rsid w:val="00AA2845"/>
    <w:rsid w:val="00B21132"/>
    <w:rsid w:val="00B347DE"/>
    <w:rsid w:val="00B44B0A"/>
    <w:rsid w:val="00B469A2"/>
    <w:rsid w:val="00B72DAF"/>
    <w:rsid w:val="00B97354"/>
    <w:rsid w:val="00C45714"/>
    <w:rsid w:val="00C55C65"/>
    <w:rsid w:val="00C92F0A"/>
    <w:rsid w:val="00CA45F9"/>
    <w:rsid w:val="00CD7799"/>
    <w:rsid w:val="00CE33B3"/>
    <w:rsid w:val="00CE7058"/>
    <w:rsid w:val="00DA665E"/>
    <w:rsid w:val="00DE04F3"/>
    <w:rsid w:val="00E07A64"/>
    <w:rsid w:val="00E56DF8"/>
    <w:rsid w:val="00E74A05"/>
    <w:rsid w:val="00FB45B7"/>
    <w:rsid w:val="00FF0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DF9F"/>
  <w15:chartTrackingRefBased/>
  <w15:docId w15:val="{40476280-4E4A-40C7-A6B4-4A83008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EB"/>
    <w:pPr>
      <w:ind w:left="720"/>
      <w:contextualSpacing/>
    </w:pPr>
  </w:style>
  <w:style w:type="character" w:styleId="PlaceholderText">
    <w:name w:val="Placeholder Text"/>
    <w:basedOn w:val="DefaultParagraphFont"/>
    <w:uiPriority w:val="99"/>
    <w:semiHidden/>
    <w:rsid w:val="00DE04F3"/>
    <w:rPr>
      <w:color w:val="808080"/>
    </w:rPr>
  </w:style>
  <w:style w:type="character" w:styleId="Hyperlink">
    <w:name w:val="Hyperlink"/>
    <w:basedOn w:val="DefaultParagraphFont"/>
    <w:uiPriority w:val="99"/>
    <w:unhideWhenUsed/>
    <w:rsid w:val="000F2AAA"/>
    <w:rPr>
      <w:color w:val="0563C1" w:themeColor="hyperlink"/>
      <w:u w:val="single"/>
    </w:rPr>
  </w:style>
  <w:style w:type="paragraph" w:styleId="Header">
    <w:name w:val="header"/>
    <w:basedOn w:val="Normal"/>
    <w:link w:val="HeaderChar"/>
    <w:uiPriority w:val="99"/>
    <w:unhideWhenUsed/>
    <w:rsid w:val="000F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AA"/>
  </w:style>
  <w:style w:type="paragraph" w:styleId="Footer">
    <w:name w:val="footer"/>
    <w:basedOn w:val="Normal"/>
    <w:link w:val="FooterChar"/>
    <w:uiPriority w:val="99"/>
    <w:unhideWhenUsed/>
    <w:rsid w:val="000F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AA"/>
  </w:style>
  <w:style w:type="paragraph" w:styleId="BalloonText">
    <w:name w:val="Balloon Text"/>
    <w:basedOn w:val="Normal"/>
    <w:link w:val="BalloonTextChar"/>
    <w:uiPriority w:val="99"/>
    <w:semiHidden/>
    <w:unhideWhenUsed/>
    <w:rsid w:val="009E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6697">
      <w:bodyDiv w:val="1"/>
      <w:marLeft w:val="0"/>
      <w:marRight w:val="0"/>
      <w:marTop w:val="0"/>
      <w:marBottom w:val="0"/>
      <w:divBdr>
        <w:top w:val="none" w:sz="0" w:space="0" w:color="auto"/>
        <w:left w:val="none" w:sz="0" w:space="0" w:color="auto"/>
        <w:bottom w:val="none" w:sz="0" w:space="0" w:color="auto"/>
        <w:right w:val="none" w:sz="0" w:space="0" w:color="auto"/>
      </w:divBdr>
    </w:div>
    <w:div w:id="752823534">
      <w:bodyDiv w:val="1"/>
      <w:marLeft w:val="0"/>
      <w:marRight w:val="0"/>
      <w:marTop w:val="0"/>
      <w:marBottom w:val="0"/>
      <w:divBdr>
        <w:top w:val="none" w:sz="0" w:space="0" w:color="auto"/>
        <w:left w:val="none" w:sz="0" w:space="0" w:color="auto"/>
        <w:bottom w:val="none" w:sz="0" w:space="0" w:color="auto"/>
        <w:right w:val="none" w:sz="0" w:space="0" w:color="auto"/>
      </w:divBdr>
    </w:div>
    <w:div w:id="805926760">
      <w:bodyDiv w:val="1"/>
      <w:marLeft w:val="0"/>
      <w:marRight w:val="0"/>
      <w:marTop w:val="0"/>
      <w:marBottom w:val="0"/>
      <w:divBdr>
        <w:top w:val="none" w:sz="0" w:space="0" w:color="auto"/>
        <w:left w:val="none" w:sz="0" w:space="0" w:color="auto"/>
        <w:bottom w:val="none" w:sz="0" w:space="0" w:color="auto"/>
        <w:right w:val="none" w:sz="0" w:space="0" w:color="auto"/>
      </w:divBdr>
    </w:div>
    <w:div w:id="16598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niel@wakehealt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Ellis@atriumhealth.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Ellis@atrium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daniel@wakehealth.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6137FD-2BCB-492E-9031-D3CF7F6A7362}"/>
      </w:docPartPr>
      <w:docPartBody>
        <w:p w:rsidR="00C1629D" w:rsidRDefault="001B6773">
          <w:r w:rsidRPr="00D5532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E0AFF9E-5D3A-4EF7-95B7-84EAD8DDC447}"/>
      </w:docPartPr>
      <w:docPartBody>
        <w:p w:rsidR="00C1629D" w:rsidRDefault="001B6773">
          <w:r w:rsidRPr="00D553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73"/>
    <w:rsid w:val="001B6773"/>
    <w:rsid w:val="001F3871"/>
    <w:rsid w:val="0027649B"/>
    <w:rsid w:val="002B2628"/>
    <w:rsid w:val="002B3EAC"/>
    <w:rsid w:val="003A4863"/>
    <w:rsid w:val="003F40D1"/>
    <w:rsid w:val="00413389"/>
    <w:rsid w:val="004E10CF"/>
    <w:rsid w:val="008C5011"/>
    <w:rsid w:val="008F5F50"/>
    <w:rsid w:val="009408B6"/>
    <w:rsid w:val="009A4552"/>
    <w:rsid w:val="00B46D89"/>
    <w:rsid w:val="00C1629D"/>
    <w:rsid w:val="00D77A5F"/>
    <w:rsid w:val="00EB0ACC"/>
    <w:rsid w:val="00EC6618"/>
    <w:rsid w:val="00F5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 Dunham</dc:creator>
  <cp:keywords/>
  <dc:description/>
  <cp:lastModifiedBy>Charles Daniel</cp:lastModifiedBy>
  <cp:revision>5</cp:revision>
  <cp:lastPrinted>2022-03-09T23:56:00Z</cp:lastPrinted>
  <dcterms:created xsi:type="dcterms:W3CDTF">2023-02-07T17:33:00Z</dcterms:created>
  <dcterms:modified xsi:type="dcterms:W3CDTF">2023-02-07T18:33:00Z</dcterms:modified>
</cp:coreProperties>
</file>